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3C2B" w14:textId="77777777" w:rsidR="008A3D61" w:rsidRDefault="008A3D61" w:rsidP="009D3D7A"/>
    <w:p w14:paraId="0DDE3E3A" w14:textId="77777777" w:rsidR="009D3D7A" w:rsidRDefault="009D3D7A" w:rsidP="009D3D7A"/>
    <w:p w14:paraId="55DA7976" w14:textId="77777777" w:rsidR="009D3D7A" w:rsidRPr="001C1B84" w:rsidRDefault="009D3D7A" w:rsidP="009D3D7A">
      <w:pPr>
        <w:adjustRightInd w:val="0"/>
        <w:ind w:right="524"/>
        <w:jc w:val="both"/>
        <w:rPr>
          <w:rFonts w:ascii="Century Gothic" w:hAnsi="Century Gothic"/>
          <w:b/>
          <w:bCs/>
          <w:sz w:val="20"/>
          <w:szCs w:val="20"/>
          <w:lang w:val="es-ES_tradnl"/>
        </w:rPr>
      </w:pPr>
      <w:r w:rsidRPr="001C1B84">
        <w:rPr>
          <w:rFonts w:ascii="Century Gothic" w:hAnsi="Century Gothic"/>
          <w:b/>
          <w:bCs/>
          <w:sz w:val="20"/>
          <w:szCs w:val="20"/>
          <w:lang w:val="es-ES_tradnl"/>
        </w:rPr>
        <w:t>Especificaciones técnicas particulares</w:t>
      </w:r>
    </w:p>
    <w:p w14:paraId="39728307" w14:textId="77777777" w:rsidR="009D3D7A" w:rsidRPr="001C1B84" w:rsidRDefault="009D3D7A" w:rsidP="009D3D7A">
      <w:pPr>
        <w:adjustRightInd w:val="0"/>
        <w:ind w:right="524"/>
        <w:jc w:val="both"/>
        <w:rPr>
          <w:rFonts w:ascii="Century Gothic" w:hAnsi="Century Gothic"/>
          <w:sz w:val="20"/>
          <w:szCs w:val="20"/>
          <w:lang w:val="es-ES_tradnl"/>
        </w:rPr>
      </w:pPr>
    </w:p>
    <w:p w14:paraId="7919713E"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Recursos Técnico-Adicionales:</w:t>
      </w:r>
    </w:p>
    <w:p w14:paraId="601A3F39"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p>
    <w:p w14:paraId="69F85688" w14:textId="77777777" w:rsidR="009D3D7A" w:rsidRPr="001C1B84" w:rsidRDefault="009D3D7A" w:rsidP="009D3D7A">
      <w:pPr>
        <w:pStyle w:val="Prrafodelista"/>
        <w:adjustRightInd w:val="0"/>
        <w:ind w:left="0" w:right="51"/>
        <w:jc w:val="both"/>
        <w:rPr>
          <w:rFonts w:ascii="Century Gothic" w:hAnsi="Century Gothic"/>
          <w:sz w:val="20"/>
          <w:szCs w:val="20"/>
          <w:lang w:val="es-ES_tradnl"/>
        </w:rPr>
      </w:pPr>
      <w:r w:rsidRPr="001C1B84">
        <w:rPr>
          <w:rFonts w:ascii="Century Gothic" w:hAnsi="Century Gothic"/>
          <w:sz w:val="20"/>
          <w:szCs w:val="20"/>
          <w:lang w:val="es-ES_tradnl"/>
        </w:rPr>
        <w:t xml:space="preserve">El contratista debe contar con sus propios medios y recursos, para la actualización de la toma física de inventarios, valoración y el plaqueteo de los activos fijos de la entidad, así: </w:t>
      </w:r>
    </w:p>
    <w:p w14:paraId="771C7DAA" w14:textId="77777777" w:rsidR="009D3D7A" w:rsidRPr="001C1B84" w:rsidRDefault="009D3D7A" w:rsidP="009D3D7A">
      <w:pPr>
        <w:pStyle w:val="Prrafodelista"/>
        <w:adjustRightInd w:val="0"/>
        <w:ind w:left="0" w:right="51"/>
        <w:jc w:val="both"/>
        <w:rPr>
          <w:rFonts w:ascii="Century Gothic" w:hAnsi="Century Gothic"/>
          <w:sz w:val="20"/>
          <w:szCs w:val="20"/>
          <w:lang w:val="es-ES_tradnl"/>
        </w:rPr>
      </w:pPr>
    </w:p>
    <w:p w14:paraId="1B0DCFEE"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Computadores portátiles</w:t>
      </w:r>
    </w:p>
    <w:p w14:paraId="7BEEA9F6"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xml:space="preserve">• Cámaras </w:t>
      </w:r>
    </w:p>
    <w:p w14:paraId="0DFB2DAB"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xml:space="preserve">• Etiquetas o placas de inventarios. </w:t>
      </w:r>
    </w:p>
    <w:p w14:paraId="7813B0CA"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xml:space="preserve">• Papelería e implementos de trabajo. </w:t>
      </w:r>
    </w:p>
    <w:p w14:paraId="26723403"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xml:space="preserve">• Equipo de comunicación interna. </w:t>
      </w:r>
    </w:p>
    <w:p w14:paraId="06422FE2"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Equipos de seguridad</w:t>
      </w:r>
    </w:p>
    <w:p w14:paraId="3433ADF2" w14:textId="77777777" w:rsidR="009D3D7A" w:rsidRPr="001C1B84" w:rsidRDefault="009D3D7A" w:rsidP="009D3D7A">
      <w:pPr>
        <w:pStyle w:val="Prrafodelista"/>
        <w:adjustRightInd w:val="0"/>
        <w:ind w:left="360" w:right="524"/>
        <w:jc w:val="both"/>
        <w:rPr>
          <w:rFonts w:ascii="Century Gothic" w:hAnsi="Century Gothic"/>
          <w:sz w:val="20"/>
          <w:szCs w:val="20"/>
          <w:lang w:val="es-ES_tradnl"/>
        </w:rPr>
      </w:pPr>
      <w:r w:rsidRPr="001C1B84">
        <w:rPr>
          <w:rFonts w:ascii="Century Gothic" w:hAnsi="Century Gothic"/>
          <w:sz w:val="20"/>
          <w:szCs w:val="20"/>
          <w:lang w:val="es-ES_tradnl"/>
        </w:rPr>
        <w:t xml:space="preserve">• Transporte </w:t>
      </w:r>
    </w:p>
    <w:p w14:paraId="3DA4E346" w14:textId="77777777" w:rsidR="009D3D7A" w:rsidRPr="001C1B84" w:rsidRDefault="009D3D7A" w:rsidP="009D3D7A">
      <w:pPr>
        <w:pStyle w:val="Prrafodelista"/>
        <w:adjustRightInd w:val="0"/>
        <w:ind w:left="0" w:right="524"/>
        <w:jc w:val="both"/>
        <w:rPr>
          <w:rFonts w:ascii="Century Gothic" w:hAnsi="Century Gothic"/>
          <w:b/>
          <w:sz w:val="20"/>
          <w:szCs w:val="20"/>
        </w:rPr>
      </w:pPr>
    </w:p>
    <w:p w14:paraId="79AFBD68" w14:textId="77777777" w:rsidR="009D3D7A" w:rsidRPr="001C1B84" w:rsidRDefault="009D3D7A" w:rsidP="009D3D7A">
      <w:pPr>
        <w:adjustRightInd w:val="0"/>
        <w:jc w:val="both"/>
        <w:rPr>
          <w:rFonts w:ascii="Century Gothic" w:hAnsi="Century Gothic"/>
          <w:spacing w:val="-1"/>
          <w:sz w:val="20"/>
          <w:szCs w:val="20"/>
        </w:rPr>
      </w:pPr>
      <w:bookmarkStart w:id="0" w:name="_Hlk44645793"/>
      <w:r w:rsidRPr="001C1B84">
        <w:rPr>
          <w:rFonts w:ascii="Century Gothic" w:hAnsi="Century Gothic"/>
          <w:spacing w:val="-1"/>
          <w:sz w:val="20"/>
          <w:szCs w:val="20"/>
        </w:rPr>
        <w:t xml:space="preserve">Seleccionado el contratista este realizará todas las actividades que sean necesarias para prestar un servicio idóneo teniente a la </w:t>
      </w:r>
      <w:bookmarkEnd w:id="0"/>
      <w:r w:rsidRPr="001C1B84">
        <w:rPr>
          <w:rFonts w:ascii="Century Gothic" w:hAnsi="Century Gothic"/>
          <w:spacing w:val="-1"/>
          <w:sz w:val="20"/>
          <w:szCs w:val="20"/>
        </w:rPr>
        <w:t xml:space="preserve">elaboración de inventarios y avalúos </w:t>
      </w:r>
      <w:r w:rsidRPr="001C1B84">
        <w:rPr>
          <w:rFonts w:ascii="Century Gothic" w:hAnsi="Century Gothic"/>
          <w:sz w:val="20"/>
          <w:szCs w:val="20"/>
        </w:rPr>
        <w:t>cumpliendo las normas internacionales de información financiera “NIIF”, O NIC-SP de la entidad.</w:t>
      </w:r>
    </w:p>
    <w:p w14:paraId="66023BD6" w14:textId="77777777" w:rsidR="009D3D7A" w:rsidRPr="001C1B84" w:rsidRDefault="009D3D7A" w:rsidP="009D3D7A">
      <w:pPr>
        <w:adjustRightInd w:val="0"/>
        <w:jc w:val="both"/>
        <w:rPr>
          <w:rFonts w:ascii="Century Gothic" w:hAnsi="Century Gothic"/>
          <w:spacing w:val="-1"/>
          <w:sz w:val="20"/>
          <w:szCs w:val="20"/>
        </w:rPr>
      </w:pPr>
    </w:p>
    <w:p w14:paraId="7EBE60B9" w14:textId="77777777" w:rsidR="009D3D7A" w:rsidRPr="001C1B84" w:rsidRDefault="009D3D7A" w:rsidP="009D3D7A">
      <w:pPr>
        <w:adjustRightInd w:val="0"/>
        <w:jc w:val="both"/>
        <w:rPr>
          <w:rFonts w:ascii="Century Gothic" w:hAnsi="Century Gothic"/>
          <w:spacing w:val="-1"/>
          <w:sz w:val="20"/>
          <w:szCs w:val="20"/>
        </w:rPr>
      </w:pPr>
      <w:r w:rsidRPr="001C1B84">
        <w:rPr>
          <w:rFonts w:ascii="Century Gothic" w:hAnsi="Century Gothic"/>
          <w:spacing w:val="-1"/>
          <w:sz w:val="20"/>
          <w:szCs w:val="20"/>
        </w:rPr>
        <w:t>El contratista debe estar en capacidad de elaborar los inventarios de los bienes muebles e inmuebles, así como la valoración de estos cumpliendo la normatividad vigente tanto contable como valuatoria.</w:t>
      </w:r>
    </w:p>
    <w:p w14:paraId="68918D32" w14:textId="77777777" w:rsidR="009D3D7A" w:rsidRPr="001C1B84" w:rsidRDefault="009D3D7A" w:rsidP="009D3D7A">
      <w:pPr>
        <w:adjustRightInd w:val="0"/>
        <w:jc w:val="both"/>
        <w:rPr>
          <w:rFonts w:ascii="Century Gothic" w:hAnsi="Century Gothic"/>
          <w:spacing w:val="-1"/>
          <w:sz w:val="20"/>
          <w:szCs w:val="20"/>
        </w:rPr>
      </w:pPr>
    </w:p>
    <w:p w14:paraId="32E297E6" w14:textId="77777777" w:rsidR="009D3D7A" w:rsidRPr="001C1B84" w:rsidRDefault="009D3D7A" w:rsidP="009D3D7A">
      <w:pPr>
        <w:pStyle w:val="Prrafodelista"/>
        <w:numPr>
          <w:ilvl w:val="0"/>
          <w:numId w:val="13"/>
        </w:numPr>
        <w:contextualSpacing/>
        <w:jc w:val="both"/>
        <w:rPr>
          <w:rFonts w:ascii="Century Gothic" w:hAnsi="Century Gothic"/>
          <w:spacing w:val="-1"/>
          <w:sz w:val="20"/>
          <w:szCs w:val="20"/>
        </w:rPr>
      </w:pPr>
      <w:r w:rsidRPr="001C1B84">
        <w:rPr>
          <w:rFonts w:ascii="Century Gothic" w:hAnsi="Century Gothic"/>
          <w:spacing w:val="-1"/>
          <w:sz w:val="20"/>
          <w:szCs w:val="20"/>
        </w:rPr>
        <w:t>Inventario georreferenciado de los bienes inmuebles.</w:t>
      </w:r>
    </w:p>
    <w:p w14:paraId="39EA1923" w14:textId="77777777" w:rsidR="009D3D7A" w:rsidRPr="001C1B84" w:rsidRDefault="009D3D7A" w:rsidP="009D3D7A">
      <w:pPr>
        <w:pStyle w:val="Prrafodelista"/>
        <w:numPr>
          <w:ilvl w:val="0"/>
          <w:numId w:val="13"/>
        </w:numPr>
        <w:contextualSpacing/>
        <w:jc w:val="both"/>
        <w:rPr>
          <w:rFonts w:ascii="Century Gothic" w:hAnsi="Century Gothic"/>
          <w:spacing w:val="-1"/>
          <w:sz w:val="20"/>
          <w:szCs w:val="20"/>
        </w:rPr>
      </w:pPr>
      <w:r w:rsidRPr="001C1B84">
        <w:rPr>
          <w:rFonts w:ascii="Century Gothic" w:hAnsi="Century Gothic"/>
          <w:spacing w:val="-1"/>
          <w:sz w:val="20"/>
          <w:szCs w:val="20"/>
        </w:rPr>
        <w:t xml:space="preserve">Avalúo técnico comercial individual a bienes inmuebles, que contenga información clara, precisa e ilustrada con fotos, que contenga la descripción de cada uno de los predios por adquirir, cultivos permanentes, transitorios, maderables y construcciones, detallando en los cultivos: nombre de la especie, tiempo de desarrollo del cultivo, ciclo de desarrollo del cultivo, estado de conservación y fitosanitario; en maderables, el nombre de la especie, diámetro a la altura del pecho, altura promedio de los individuos de la misma especie; en construcciones, indicando destinación, edad de la construcción y detallando los materiales de cada elemento como techos, pisos, puertas y ventanas y el estado de conservación en formato que se acuerde entre las partes cumpliendo las normas NIC SP. </w:t>
      </w:r>
    </w:p>
    <w:p w14:paraId="64D33199" w14:textId="77777777" w:rsidR="009D3D7A" w:rsidRPr="001C1B84" w:rsidRDefault="009D3D7A" w:rsidP="009D3D7A">
      <w:pPr>
        <w:pStyle w:val="Prrafodelista"/>
        <w:numPr>
          <w:ilvl w:val="0"/>
          <w:numId w:val="13"/>
        </w:numPr>
        <w:contextualSpacing/>
        <w:jc w:val="both"/>
        <w:rPr>
          <w:rFonts w:ascii="Century Gothic" w:hAnsi="Century Gothic"/>
          <w:spacing w:val="-1"/>
          <w:sz w:val="20"/>
          <w:szCs w:val="20"/>
        </w:rPr>
      </w:pPr>
      <w:r w:rsidRPr="001C1B84">
        <w:rPr>
          <w:rFonts w:ascii="Century Gothic" w:hAnsi="Century Gothic"/>
          <w:spacing w:val="-1"/>
          <w:sz w:val="20"/>
          <w:szCs w:val="20"/>
        </w:rPr>
        <w:t xml:space="preserve">Elaboración de la ficha técnica de visita en la que se hace el levantamiento de la información. </w:t>
      </w:r>
    </w:p>
    <w:p w14:paraId="1522AB47" w14:textId="77777777" w:rsidR="009D3D7A" w:rsidRPr="001C1B84" w:rsidRDefault="009D3D7A" w:rsidP="009D3D7A">
      <w:pPr>
        <w:pStyle w:val="Prrafodelista"/>
        <w:numPr>
          <w:ilvl w:val="0"/>
          <w:numId w:val="13"/>
        </w:numPr>
        <w:contextualSpacing/>
        <w:jc w:val="both"/>
        <w:rPr>
          <w:rFonts w:ascii="Century Gothic" w:hAnsi="Century Gothic"/>
          <w:spacing w:val="-1"/>
          <w:sz w:val="20"/>
          <w:szCs w:val="20"/>
        </w:rPr>
      </w:pPr>
      <w:r w:rsidRPr="001C1B84">
        <w:rPr>
          <w:rFonts w:ascii="Century Gothic" w:hAnsi="Century Gothic"/>
          <w:spacing w:val="-1"/>
          <w:sz w:val="20"/>
          <w:szCs w:val="20"/>
        </w:rPr>
        <w:t>Fichas técnicas con que contengan el inventario y los avalúos comerciales individuales a bienes muebles cumpliendo las normas NIC SP (nuevo marco normativo contable)</w:t>
      </w:r>
    </w:p>
    <w:p w14:paraId="6E117D76" w14:textId="77777777" w:rsidR="009D3D7A" w:rsidRPr="001C1B84" w:rsidRDefault="009D3D7A" w:rsidP="009D3D7A">
      <w:pPr>
        <w:pStyle w:val="Prrafodelista"/>
        <w:numPr>
          <w:ilvl w:val="0"/>
          <w:numId w:val="13"/>
        </w:numPr>
        <w:contextualSpacing/>
        <w:jc w:val="both"/>
        <w:rPr>
          <w:rFonts w:ascii="Century Gothic" w:hAnsi="Century Gothic"/>
          <w:spacing w:val="-1"/>
          <w:sz w:val="20"/>
          <w:szCs w:val="20"/>
        </w:rPr>
      </w:pPr>
      <w:r w:rsidRPr="001C1B84">
        <w:rPr>
          <w:rFonts w:ascii="Century Gothic" w:hAnsi="Century Gothic"/>
          <w:spacing w:val="-1"/>
          <w:sz w:val="20"/>
          <w:szCs w:val="20"/>
        </w:rPr>
        <w:t>Cada bien mueble será etiquetado, con un stiker laminado de seguridad de 2,5 por 3,5 centímetros el cual contendrá el logo de la institución un código de barras y el numero consecutivo para todo el inventario.</w:t>
      </w:r>
    </w:p>
    <w:p w14:paraId="3006FA53" w14:textId="77777777" w:rsidR="009D3D7A" w:rsidRPr="001C1B84" w:rsidRDefault="009D3D7A" w:rsidP="009D3D7A">
      <w:pPr>
        <w:adjustRightInd w:val="0"/>
        <w:jc w:val="both"/>
        <w:rPr>
          <w:rFonts w:ascii="Century Gothic" w:hAnsi="Century Gothic"/>
          <w:spacing w:val="-1"/>
          <w:sz w:val="20"/>
          <w:szCs w:val="20"/>
        </w:rPr>
      </w:pPr>
    </w:p>
    <w:p w14:paraId="16BE0F8E" w14:textId="77777777" w:rsidR="009D3D7A" w:rsidRPr="001C1B84" w:rsidRDefault="009D3D7A" w:rsidP="009D3D7A">
      <w:pPr>
        <w:adjustRightInd w:val="0"/>
        <w:jc w:val="both"/>
        <w:rPr>
          <w:rFonts w:ascii="Century Gothic" w:hAnsi="Century Gothic"/>
          <w:spacing w:val="-1"/>
          <w:sz w:val="20"/>
          <w:szCs w:val="20"/>
        </w:rPr>
      </w:pPr>
      <w:r w:rsidRPr="001C1B84">
        <w:rPr>
          <w:rFonts w:ascii="Century Gothic" w:hAnsi="Century Gothic"/>
          <w:spacing w:val="-1"/>
          <w:sz w:val="20"/>
          <w:szCs w:val="20"/>
        </w:rPr>
        <w:lastRenderedPageBreak/>
        <w:t xml:space="preserve">Deberá entregar el inventario valorado requerida y </w:t>
      </w:r>
      <w:bookmarkStart w:id="1" w:name="_Hlk44645839"/>
      <w:r w:rsidRPr="001C1B84">
        <w:rPr>
          <w:rFonts w:ascii="Century Gothic" w:hAnsi="Century Gothic"/>
          <w:spacing w:val="-1"/>
          <w:sz w:val="20"/>
          <w:szCs w:val="20"/>
        </w:rPr>
        <w:t>resolver oportunamente las inquietudes que pueda presentar la entidad en cuanto a la</w:t>
      </w:r>
      <w:bookmarkEnd w:id="1"/>
      <w:r w:rsidRPr="001C1B84">
        <w:rPr>
          <w:rFonts w:ascii="Century Gothic" w:hAnsi="Century Gothic"/>
          <w:spacing w:val="-1"/>
          <w:sz w:val="20"/>
          <w:szCs w:val="20"/>
        </w:rPr>
        <w:t xml:space="preserve">s diferencias que se puedan encontrar en el desarrollo de la actividad. </w:t>
      </w:r>
    </w:p>
    <w:p w14:paraId="1467866B" w14:textId="77777777" w:rsidR="009D3D7A" w:rsidRPr="001C1B84" w:rsidRDefault="009D3D7A" w:rsidP="009D3D7A">
      <w:pPr>
        <w:adjustRightInd w:val="0"/>
        <w:jc w:val="both"/>
        <w:rPr>
          <w:rFonts w:ascii="Century Gothic" w:hAnsi="Century Gothic"/>
          <w:spacing w:val="-1"/>
          <w:sz w:val="20"/>
          <w:szCs w:val="20"/>
        </w:rPr>
      </w:pPr>
    </w:p>
    <w:p w14:paraId="629C6374" w14:textId="77777777" w:rsidR="009D3D7A" w:rsidRPr="001C1B84" w:rsidRDefault="009D3D7A" w:rsidP="009D3D7A">
      <w:pPr>
        <w:jc w:val="both"/>
        <w:rPr>
          <w:rFonts w:ascii="Century Gothic" w:hAnsi="Century Gothic"/>
          <w:spacing w:val="-1"/>
          <w:sz w:val="20"/>
          <w:szCs w:val="20"/>
        </w:rPr>
      </w:pPr>
      <w:r w:rsidRPr="001C1B84">
        <w:rPr>
          <w:rFonts w:ascii="Century Gothic" w:hAnsi="Century Gothic"/>
          <w:spacing w:val="-1"/>
          <w:sz w:val="20"/>
          <w:szCs w:val="20"/>
        </w:rPr>
        <w:t xml:space="preserve">De igual manera, el contratista deberá designar el recurso humano profesional exigido para prestar en integralidad el objeto del contrato garantizando el debido hacer de los previsto en los numerales anteriores.  </w:t>
      </w:r>
    </w:p>
    <w:p w14:paraId="24A035E7" w14:textId="77777777" w:rsidR="009D3D7A" w:rsidRPr="001C1B84" w:rsidRDefault="009D3D7A" w:rsidP="009D3D7A">
      <w:pPr>
        <w:tabs>
          <w:tab w:val="left" w:pos="2694"/>
        </w:tabs>
        <w:jc w:val="both"/>
        <w:rPr>
          <w:rFonts w:ascii="Century Gothic" w:hAnsi="Century Gothic"/>
          <w:spacing w:val="-1"/>
          <w:sz w:val="20"/>
          <w:szCs w:val="20"/>
        </w:rPr>
      </w:pPr>
    </w:p>
    <w:p w14:paraId="3140B3D0" w14:textId="77777777" w:rsidR="009D3D7A" w:rsidRPr="001C1B84" w:rsidRDefault="009D3D7A" w:rsidP="009D3D7A">
      <w:pPr>
        <w:pStyle w:val="Ttulo1"/>
        <w:numPr>
          <w:ilvl w:val="2"/>
          <w:numId w:val="14"/>
        </w:numPr>
        <w:tabs>
          <w:tab w:val="num" w:pos="360"/>
        </w:tabs>
        <w:ind w:left="0" w:firstLine="0"/>
        <w:rPr>
          <w:rFonts w:ascii="Century Gothic" w:hAnsi="Century Gothic"/>
          <w:b/>
          <w:bCs/>
          <w:sz w:val="20"/>
        </w:rPr>
      </w:pPr>
      <w:bookmarkStart w:id="2" w:name="_Toc208297244"/>
      <w:bookmarkStart w:id="3" w:name="_Toc387601546"/>
      <w:bookmarkStart w:id="4" w:name="_Toc128913973"/>
      <w:bookmarkStart w:id="5" w:name="_Hlk101682281"/>
      <w:r w:rsidRPr="001C1B84">
        <w:rPr>
          <w:rFonts w:ascii="Century Gothic" w:hAnsi="Century Gothic"/>
          <w:b/>
          <w:bCs/>
          <w:sz w:val="20"/>
        </w:rPr>
        <w:t xml:space="preserve">Metodología para actualizar el inventario los avalúos técnicos de los bienes inmuebles de la </w:t>
      </w:r>
      <w:bookmarkEnd w:id="2"/>
      <w:bookmarkEnd w:id="3"/>
      <w:r w:rsidRPr="001C1B84">
        <w:rPr>
          <w:rFonts w:ascii="Century Gothic" w:hAnsi="Century Gothic"/>
          <w:b/>
          <w:bCs/>
          <w:sz w:val="20"/>
        </w:rPr>
        <w:t>entidad</w:t>
      </w:r>
      <w:bookmarkEnd w:id="4"/>
    </w:p>
    <w:p w14:paraId="1A3F04B0" w14:textId="77777777" w:rsidR="009D3D7A" w:rsidRPr="001C1B84" w:rsidRDefault="009D3D7A" w:rsidP="009D3D7A">
      <w:pPr>
        <w:pStyle w:val="Textoindependiente"/>
        <w:spacing w:after="0"/>
        <w:jc w:val="both"/>
        <w:rPr>
          <w:rFonts w:ascii="Century Gothic" w:hAnsi="Century Gothic"/>
        </w:rPr>
      </w:pPr>
    </w:p>
    <w:p w14:paraId="7EA38A68" w14:textId="77777777" w:rsidR="009D3D7A" w:rsidRPr="001C1B84" w:rsidRDefault="009D3D7A" w:rsidP="009D3D7A">
      <w:pPr>
        <w:pStyle w:val="Textoindependiente"/>
        <w:spacing w:after="0"/>
        <w:jc w:val="both"/>
        <w:rPr>
          <w:rFonts w:ascii="Century Gothic" w:hAnsi="Century Gothic"/>
        </w:rPr>
      </w:pPr>
      <w:r w:rsidRPr="001C1B84">
        <w:rPr>
          <w:rFonts w:ascii="Century Gothic" w:hAnsi="Century Gothic"/>
        </w:rPr>
        <w:t>Para desarrollar la valoración de los bienes inmuebles se ha separado en etapas o componentes.</w:t>
      </w:r>
    </w:p>
    <w:p w14:paraId="6301BA01" w14:textId="77777777" w:rsidR="009D3D7A" w:rsidRPr="001C1B84" w:rsidRDefault="009D3D7A" w:rsidP="009D3D7A">
      <w:pPr>
        <w:pStyle w:val="Textoindependiente"/>
        <w:spacing w:after="0"/>
        <w:jc w:val="both"/>
        <w:rPr>
          <w:rFonts w:ascii="Century Gothic" w:hAnsi="Century Gothic"/>
        </w:rPr>
      </w:pPr>
    </w:p>
    <w:p w14:paraId="5449ACBA" w14:textId="77777777" w:rsidR="009D3D7A" w:rsidRPr="001C1B84" w:rsidRDefault="009D3D7A" w:rsidP="009D3D7A">
      <w:pPr>
        <w:pStyle w:val="Ttulo3"/>
        <w:numPr>
          <w:ilvl w:val="3"/>
          <w:numId w:val="14"/>
        </w:numPr>
        <w:tabs>
          <w:tab w:val="num" w:pos="360"/>
        </w:tabs>
        <w:ind w:left="0" w:firstLine="0"/>
        <w:jc w:val="both"/>
        <w:rPr>
          <w:rFonts w:ascii="Century Gothic" w:hAnsi="Century Gothic" w:cs="Arial"/>
        </w:rPr>
      </w:pPr>
      <w:bookmarkStart w:id="6" w:name="_Toc128913974"/>
      <w:r w:rsidRPr="001C1B84">
        <w:rPr>
          <w:rFonts w:ascii="Century Gothic" w:hAnsi="Century Gothic" w:cs="Arial"/>
        </w:rPr>
        <w:t>Componente técnico.</w:t>
      </w:r>
      <w:bookmarkEnd w:id="6"/>
    </w:p>
    <w:p w14:paraId="297438C8" w14:textId="77777777" w:rsidR="009D3D7A" w:rsidRPr="001C1B84" w:rsidRDefault="009D3D7A" w:rsidP="009D3D7A">
      <w:pPr>
        <w:jc w:val="both"/>
        <w:rPr>
          <w:rFonts w:ascii="Century Gothic" w:hAnsi="Century Gothic"/>
          <w:sz w:val="20"/>
          <w:szCs w:val="20"/>
        </w:rPr>
      </w:pPr>
    </w:p>
    <w:p w14:paraId="6AB328FF" w14:textId="77777777" w:rsidR="009D3D7A" w:rsidRPr="001C1B84" w:rsidRDefault="009D3D7A" w:rsidP="009D3D7A">
      <w:pPr>
        <w:pStyle w:val="Prrafodelista"/>
        <w:numPr>
          <w:ilvl w:val="0"/>
          <w:numId w:val="1"/>
        </w:numPr>
        <w:contextualSpacing/>
        <w:jc w:val="both"/>
        <w:rPr>
          <w:rFonts w:ascii="Century Gothic" w:hAnsi="Century Gothic"/>
          <w:sz w:val="20"/>
          <w:szCs w:val="20"/>
        </w:rPr>
      </w:pPr>
      <w:r w:rsidRPr="001C1B84">
        <w:rPr>
          <w:rFonts w:ascii="Century Gothic" w:hAnsi="Century Gothic"/>
          <w:sz w:val="20"/>
          <w:szCs w:val="20"/>
        </w:rPr>
        <w:t>Recolección de información</w:t>
      </w:r>
    </w:p>
    <w:p w14:paraId="76389E64" w14:textId="77777777" w:rsidR="009D3D7A" w:rsidRPr="001C1B84" w:rsidRDefault="009D3D7A" w:rsidP="009D3D7A">
      <w:pPr>
        <w:pStyle w:val="Prrafodelista"/>
        <w:ind w:left="360"/>
        <w:jc w:val="both"/>
        <w:rPr>
          <w:rFonts w:ascii="Century Gothic" w:hAnsi="Century Gothic"/>
          <w:sz w:val="20"/>
          <w:szCs w:val="20"/>
        </w:rPr>
      </w:pPr>
    </w:p>
    <w:p w14:paraId="752167C6" w14:textId="77777777" w:rsidR="009D3D7A" w:rsidRPr="001C1B84" w:rsidRDefault="009D3D7A" w:rsidP="009D3D7A">
      <w:pPr>
        <w:pStyle w:val="Prrafodelista"/>
        <w:numPr>
          <w:ilvl w:val="0"/>
          <w:numId w:val="7"/>
        </w:numPr>
        <w:contextualSpacing/>
        <w:jc w:val="both"/>
        <w:rPr>
          <w:rFonts w:ascii="Century Gothic" w:hAnsi="Century Gothic"/>
          <w:sz w:val="20"/>
          <w:szCs w:val="20"/>
        </w:rPr>
      </w:pPr>
      <w:r w:rsidRPr="001C1B84">
        <w:rPr>
          <w:rFonts w:ascii="Century Gothic" w:hAnsi="Century Gothic"/>
          <w:sz w:val="20"/>
          <w:szCs w:val="20"/>
        </w:rPr>
        <w:t>Cruce información catastro - registro instrumentos públicos – planeación y Superintendencia de Notariado y Registro</w:t>
      </w:r>
    </w:p>
    <w:p w14:paraId="1D97041A" w14:textId="77777777" w:rsidR="009D3D7A" w:rsidRPr="001C1B84" w:rsidRDefault="009D3D7A" w:rsidP="009D3D7A">
      <w:pPr>
        <w:pStyle w:val="Prrafodelista"/>
        <w:numPr>
          <w:ilvl w:val="0"/>
          <w:numId w:val="7"/>
        </w:numPr>
        <w:contextualSpacing/>
        <w:jc w:val="both"/>
        <w:rPr>
          <w:rFonts w:ascii="Century Gothic" w:hAnsi="Century Gothic"/>
          <w:sz w:val="20"/>
          <w:szCs w:val="20"/>
        </w:rPr>
      </w:pPr>
      <w:r w:rsidRPr="001C1B84">
        <w:rPr>
          <w:rFonts w:ascii="Century Gothic" w:hAnsi="Century Gothic"/>
          <w:sz w:val="20"/>
          <w:szCs w:val="20"/>
        </w:rPr>
        <w:t>Programación de recorridos y actividades complementarias.</w:t>
      </w:r>
    </w:p>
    <w:p w14:paraId="458525F2" w14:textId="77777777" w:rsidR="009D3D7A" w:rsidRPr="001C1B84" w:rsidRDefault="009D3D7A" w:rsidP="009D3D7A">
      <w:pPr>
        <w:pStyle w:val="Prrafodelista"/>
        <w:ind w:left="360"/>
        <w:jc w:val="both"/>
        <w:rPr>
          <w:rFonts w:ascii="Century Gothic" w:hAnsi="Century Gothic"/>
          <w:sz w:val="20"/>
          <w:szCs w:val="20"/>
        </w:rPr>
      </w:pPr>
    </w:p>
    <w:p w14:paraId="200DA037" w14:textId="77777777" w:rsidR="009D3D7A" w:rsidRPr="001C1B84" w:rsidRDefault="009D3D7A" w:rsidP="009D3D7A">
      <w:pPr>
        <w:pStyle w:val="Prrafodelista"/>
        <w:numPr>
          <w:ilvl w:val="0"/>
          <w:numId w:val="1"/>
        </w:numPr>
        <w:contextualSpacing/>
        <w:jc w:val="both"/>
        <w:rPr>
          <w:rFonts w:ascii="Century Gothic" w:hAnsi="Century Gothic"/>
          <w:sz w:val="20"/>
          <w:szCs w:val="20"/>
        </w:rPr>
      </w:pPr>
      <w:r w:rsidRPr="001C1B84">
        <w:rPr>
          <w:rFonts w:ascii="Century Gothic" w:hAnsi="Century Gothic"/>
          <w:sz w:val="20"/>
          <w:szCs w:val="20"/>
        </w:rPr>
        <w:t>Componente Geográfico</w:t>
      </w:r>
    </w:p>
    <w:p w14:paraId="45C815A7" w14:textId="77777777" w:rsidR="009D3D7A" w:rsidRPr="001C1B84" w:rsidRDefault="009D3D7A" w:rsidP="009D3D7A">
      <w:pPr>
        <w:pStyle w:val="Prrafodelista"/>
        <w:ind w:left="360"/>
        <w:jc w:val="both"/>
        <w:rPr>
          <w:rFonts w:ascii="Century Gothic" w:hAnsi="Century Gothic"/>
          <w:sz w:val="20"/>
          <w:szCs w:val="20"/>
        </w:rPr>
      </w:pPr>
    </w:p>
    <w:p w14:paraId="27F37FEF" w14:textId="77777777" w:rsidR="009D3D7A" w:rsidRPr="001C1B84" w:rsidRDefault="009D3D7A" w:rsidP="009D3D7A">
      <w:pPr>
        <w:pStyle w:val="Prrafodelista"/>
        <w:numPr>
          <w:ilvl w:val="0"/>
          <w:numId w:val="2"/>
        </w:numPr>
        <w:contextualSpacing/>
        <w:jc w:val="both"/>
        <w:rPr>
          <w:rFonts w:ascii="Century Gothic" w:hAnsi="Century Gothic"/>
          <w:sz w:val="20"/>
          <w:szCs w:val="20"/>
        </w:rPr>
      </w:pPr>
      <w:r w:rsidRPr="001C1B84">
        <w:rPr>
          <w:rFonts w:ascii="Century Gothic" w:hAnsi="Century Gothic"/>
          <w:sz w:val="20"/>
          <w:szCs w:val="20"/>
        </w:rPr>
        <w:t>Componente físico</w:t>
      </w:r>
    </w:p>
    <w:p w14:paraId="437FCC9D" w14:textId="77777777" w:rsidR="009D3D7A" w:rsidRPr="001C1B84" w:rsidRDefault="009D3D7A" w:rsidP="009D3D7A">
      <w:pPr>
        <w:pStyle w:val="Prrafodelista"/>
        <w:numPr>
          <w:ilvl w:val="0"/>
          <w:numId w:val="2"/>
        </w:numPr>
        <w:contextualSpacing/>
        <w:jc w:val="both"/>
        <w:rPr>
          <w:rFonts w:ascii="Century Gothic" w:hAnsi="Century Gothic"/>
          <w:sz w:val="20"/>
          <w:szCs w:val="20"/>
        </w:rPr>
      </w:pPr>
      <w:r w:rsidRPr="001C1B84">
        <w:rPr>
          <w:rFonts w:ascii="Century Gothic" w:hAnsi="Century Gothic"/>
          <w:sz w:val="20"/>
          <w:szCs w:val="20"/>
        </w:rPr>
        <w:t>Componente normativo</w:t>
      </w:r>
    </w:p>
    <w:p w14:paraId="18D9863E" w14:textId="77777777" w:rsidR="009D3D7A" w:rsidRPr="001C1B84" w:rsidRDefault="009D3D7A" w:rsidP="009D3D7A">
      <w:pPr>
        <w:pStyle w:val="Prrafodelista"/>
        <w:numPr>
          <w:ilvl w:val="0"/>
          <w:numId w:val="2"/>
        </w:numPr>
        <w:contextualSpacing/>
        <w:jc w:val="both"/>
        <w:rPr>
          <w:rFonts w:ascii="Century Gothic" w:hAnsi="Century Gothic"/>
          <w:sz w:val="20"/>
          <w:szCs w:val="20"/>
        </w:rPr>
      </w:pPr>
      <w:r w:rsidRPr="001C1B84">
        <w:rPr>
          <w:rFonts w:ascii="Century Gothic" w:hAnsi="Century Gothic"/>
          <w:sz w:val="20"/>
          <w:szCs w:val="20"/>
        </w:rPr>
        <w:t>Estudios de mercado</w:t>
      </w:r>
    </w:p>
    <w:p w14:paraId="6BFFBEE1" w14:textId="77777777" w:rsidR="009D3D7A" w:rsidRPr="001C1B84" w:rsidRDefault="009D3D7A" w:rsidP="009D3D7A">
      <w:pPr>
        <w:pStyle w:val="Prrafodelista"/>
        <w:numPr>
          <w:ilvl w:val="0"/>
          <w:numId w:val="2"/>
        </w:numPr>
        <w:contextualSpacing/>
        <w:jc w:val="both"/>
        <w:rPr>
          <w:rFonts w:ascii="Century Gothic" w:hAnsi="Century Gothic"/>
          <w:sz w:val="20"/>
          <w:szCs w:val="20"/>
        </w:rPr>
      </w:pPr>
    </w:p>
    <w:p w14:paraId="4D4AAD15" w14:textId="77777777" w:rsidR="009D3D7A" w:rsidRPr="001C1B84" w:rsidRDefault="009D3D7A" w:rsidP="009D3D7A">
      <w:pPr>
        <w:pStyle w:val="Ttulo3"/>
        <w:numPr>
          <w:ilvl w:val="3"/>
          <w:numId w:val="14"/>
        </w:numPr>
        <w:tabs>
          <w:tab w:val="num" w:pos="360"/>
        </w:tabs>
        <w:ind w:left="0" w:firstLine="0"/>
        <w:jc w:val="both"/>
        <w:rPr>
          <w:rFonts w:ascii="Century Gothic" w:hAnsi="Century Gothic" w:cs="Arial"/>
        </w:rPr>
      </w:pPr>
      <w:bookmarkStart w:id="7" w:name="_Toc128913975"/>
      <w:r w:rsidRPr="001C1B84">
        <w:rPr>
          <w:rFonts w:ascii="Century Gothic" w:hAnsi="Century Gothic" w:cs="Arial"/>
        </w:rPr>
        <w:t>Componente Jurídico</w:t>
      </w:r>
      <w:bookmarkEnd w:id="7"/>
    </w:p>
    <w:p w14:paraId="44DED552" w14:textId="77777777" w:rsidR="009D3D7A" w:rsidRPr="001C1B84" w:rsidRDefault="009D3D7A" w:rsidP="009D3D7A">
      <w:pPr>
        <w:jc w:val="both"/>
        <w:rPr>
          <w:rFonts w:ascii="Century Gothic" w:hAnsi="Century Gothic"/>
          <w:sz w:val="20"/>
          <w:szCs w:val="20"/>
        </w:rPr>
      </w:pPr>
    </w:p>
    <w:p w14:paraId="33AA8AB3" w14:textId="77777777" w:rsidR="009D3D7A" w:rsidRPr="001C1B84" w:rsidRDefault="009D3D7A" w:rsidP="009D3D7A">
      <w:pPr>
        <w:pStyle w:val="Prrafodelista"/>
        <w:numPr>
          <w:ilvl w:val="0"/>
          <w:numId w:val="3"/>
        </w:numPr>
        <w:contextualSpacing/>
        <w:jc w:val="both"/>
        <w:rPr>
          <w:rFonts w:ascii="Century Gothic" w:hAnsi="Century Gothic"/>
          <w:sz w:val="20"/>
          <w:szCs w:val="20"/>
        </w:rPr>
      </w:pPr>
      <w:r w:rsidRPr="001C1B84">
        <w:rPr>
          <w:rFonts w:ascii="Century Gothic" w:hAnsi="Century Gothic"/>
          <w:sz w:val="20"/>
          <w:szCs w:val="20"/>
        </w:rPr>
        <w:t>Actividades específicas</w:t>
      </w:r>
    </w:p>
    <w:p w14:paraId="3097BBB0" w14:textId="77777777" w:rsidR="009D3D7A" w:rsidRPr="001C1B84" w:rsidRDefault="009D3D7A" w:rsidP="009D3D7A">
      <w:pPr>
        <w:pStyle w:val="Prrafodelista"/>
        <w:numPr>
          <w:ilvl w:val="0"/>
          <w:numId w:val="3"/>
        </w:numPr>
        <w:contextualSpacing/>
        <w:jc w:val="both"/>
        <w:rPr>
          <w:rFonts w:ascii="Century Gothic" w:hAnsi="Century Gothic"/>
          <w:sz w:val="20"/>
          <w:szCs w:val="20"/>
        </w:rPr>
      </w:pPr>
      <w:r w:rsidRPr="001C1B84">
        <w:rPr>
          <w:rFonts w:ascii="Century Gothic" w:hAnsi="Century Gothic"/>
          <w:sz w:val="20"/>
          <w:szCs w:val="20"/>
        </w:rPr>
        <w:t>Afectaciones, Gravámenes al Dominio y Medidas Cautelares</w:t>
      </w:r>
    </w:p>
    <w:p w14:paraId="48080D6D" w14:textId="77777777" w:rsidR="009D3D7A" w:rsidRPr="001C1B84" w:rsidRDefault="009D3D7A" w:rsidP="009D3D7A">
      <w:pPr>
        <w:pStyle w:val="Prrafodelista"/>
        <w:numPr>
          <w:ilvl w:val="0"/>
          <w:numId w:val="3"/>
        </w:numPr>
        <w:contextualSpacing/>
        <w:jc w:val="both"/>
        <w:rPr>
          <w:rFonts w:ascii="Century Gothic" w:hAnsi="Century Gothic"/>
          <w:sz w:val="20"/>
          <w:szCs w:val="20"/>
        </w:rPr>
      </w:pPr>
      <w:r w:rsidRPr="001C1B84">
        <w:rPr>
          <w:rFonts w:ascii="Century Gothic" w:hAnsi="Century Gothic"/>
          <w:sz w:val="20"/>
          <w:szCs w:val="20"/>
        </w:rPr>
        <w:t>Diagnóstico Jurídico</w:t>
      </w:r>
    </w:p>
    <w:p w14:paraId="77F7FB2A" w14:textId="77777777" w:rsidR="009D3D7A" w:rsidRPr="001C1B84" w:rsidRDefault="009D3D7A" w:rsidP="009D3D7A">
      <w:pPr>
        <w:pStyle w:val="Prrafodelista"/>
        <w:ind w:left="720"/>
        <w:contextualSpacing/>
        <w:jc w:val="both"/>
        <w:rPr>
          <w:rFonts w:ascii="Century Gothic" w:hAnsi="Century Gothic"/>
          <w:sz w:val="20"/>
          <w:szCs w:val="20"/>
        </w:rPr>
      </w:pPr>
    </w:p>
    <w:p w14:paraId="7F6B8206" w14:textId="77777777" w:rsidR="009D3D7A" w:rsidRPr="001C1B84" w:rsidRDefault="009D3D7A" w:rsidP="009D3D7A">
      <w:pPr>
        <w:pStyle w:val="Ttulo3"/>
        <w:numPr>
          <w:ilvl w:val="3"/>
          <w:numId w:val="14"/>
        </w:numPr>
        <w:tabs>
          <w:tab w:val="num" w:pos="360"/>
        </w:tabs>
        <w:ind w:left="0" w:firstLine="0"/>
        <w:jc w:val="both"/>
        <w:rPr>
          <w:rFonts w:ascii="Century Gothic" w:hAnsi="Century Gothic" w:cs="Arial"/>
        </w:rPr>
      </w:pPr>
      <w:bookmarkStart w:id="8" w:name="_Toc128913976"/>
      <w:r w:rsidRPr="001C1B84">
        <w:rPr>
          <w:rFonts w:ascii="Century Gothic" w:hAnsi="Century Gothic" w:cs="Arial"/>
        </w:rPr>
        <w:t>Componente Económico.</w:t>
      </w:r>
      <w:bookmarkEnd w:id="8"/>
    </w:p>
    <w:p w14:paraId="5A68257A" w14:textId="77777777" w:rsidR="009D3D7A" w:rsidRPr="001C1B84" w:rsidRDefault="009D3D7A" w:rsidP="009D3D7A">
      <w:pPr>
        <w:jc w:val="both"/>
        <w:rPr>
          <w:rFonts w:ascii="Century Gothic" w:hAnsi="Century Gothic"/>
          <w:sz w:val="20"/>
          <w:szCs w:val="20"/>
        </w:rPr>
      </w:pPr>
    </w:p>
    <w:p w14:paraId="6872988D" w14:textId="77777777" w:rsidR="009D3D7A" w:rsidRPr="001C1B84" w:rsidRDefault="009D3D7A" w:rsidP="009D3D7A">
      <w:pPr>
        <w:ind w:left="2124" w:hanging="2124"/>
        <w:jc w:val="both"/>
        <w:rPr>
          <w:rFonts w:ascii="Century Gothic" w:hAnsi="Century Gothic"/>
          <w:sz w:val="20"/>
          <w:szCs w:val="20"/>
        </w:rPr>
      </w:pPr>
      <w:r w:rsidRPr="001C1B84">
        <w:rPr>
          <w:rFonts w:ascii="Century Gothic" w:hAnsi="Century Gothic"/>
          <w:sz w:val="20"/>
          <w:szCs w:val="20"/>
        </w:rPr>
        <w:t>Informe general de avalúo urbano o rural</w:t>
      </w:r>
    </w:p>
    <w:p w14:paraId="0F535442" w14:textId="77777777" w:rsidR="009D3D7A" w:rsidRPr="001C1B84" w:rsidRDefault="009D3D7A" w:rsidP="009D3D7A">
      <w:pPr>
        <w:ind w:left="2124" w:hanging="2124"/>
        <w:jc w:val="both"/>
        <w:rPr>
          <w:rFonts w:ascii="Century Gothic" w:hAnsi="Century Gothic"/>
          <w:sz w:val="20"/>
          <w:szCs w:val="20"/>
        </w:rPr>
      </w:pPr>
    </w:p>
    <w:p w14:paraId="0AD42532"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t>"Se debe dar aplicación a lo estipulado en la ley 9 de 1989, ley 388 de 1997. Decreto reglamentario 1420 de 1988, la Resolución del IGAC No. 620 del 23 de septiembre de 2008, que establece la metodología y los procedimientos para la realización de los avalúos comerciales, la Resolución IGAC 898 de 2014 y 1044 de 2014 y las normas que la sustituyan, modifiquen o complementen."</w:t>
      </w:r>
    </w:p>
    <w:p w14:paraId="07A3B201"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lastRenderedPageBreak/>
        <w:t>"La presentación de los informes de avalúo será acorde con los requisitos establecidos en el marco jurídico actual de avalúos comerciales, es decir el contenido del informe técnico deberá cumplir como mínimo con lo exigido por la ley. El formato del avalúo debe estar aprobado por el profesional valuatorio de supervisión quien verificará el cumplimiento de los lineamientos y alcances de las normas en materia valuatoria y con los establecidos en el presente apéndice. "</w:t>
      </w:r>
    </w:p>
    <w:p w14:paraId="2DF084BD"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t>"Copia del acto administrativo –Acuerdo, Decreto- vigente que regula el Plan de Ordenamiento Territorial, Plan Básico de Ordenamiento Territorial o Esquema de Ordenamiento Territorial del municipio con los soportes cartográficos digitales."</w:t>
      </w:r>
    </w:p>
    <w:p w14:paraId="7F211F39"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t>"Entrega de avalúos estos deberán entregarse con su correspondiente “SÁBANA DE AVALÚOS RESÚMEN”, debidamente totalizada en todos sus Ítem. (Número de predios, Propietarios, tenedores, Construcciones, Mejoras, Valor Total de los Avalúos, etc.), según formato del INVIAS."</w:t>
      </w:r>
    </w:p>
    <w:p w14:paraId="34B7C25F"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t>Estudio de mercado</w:t>
      </w:r>
    </w:p>
    <w:p w14:paraId="08A88950"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t>Parámetros Valuatorios</w:t>
      </w:r>
    </w:p>
    <w:p w14:paraId="44A86A86" w14:textId="77777777" w:rsidR="009D3D7A" w:rsidRPr="001C1B84" w:rsidRDefault="009D3D7A" w:rsidP="009D3D7A">
      <w:pPr>
        <w:pStyle w:val="Prrafodelista"/>
        <w:numPr>
          <w:ilvl w:val="0"/>
          <w:numId w:val="4"/>
        </w:numPr>
        <w:contextualSpacing/>
        <w:jc w:val="both"/>
        <w:rPr>
          <w:rFonts w:ascii="Century Gothic" w:hAnsi="Century Gothic"/>
          <w:sz w:val="20"/>
          <w:szCs w:val="20"/>
        </w:rPr>
      </w:pPr>
      <w:r w:rsidRPr="001C1B84">
        <w:rPr>
          <w:rFonts w:ascii="Century Gothic" w:hAnsi="Century Gothic"/>
          <w:sz w:val="20"/>
          <w:szCs w:val="20"/>
        </w:rPr>
        <w:t>Informe Técnico Individual del Avalúo.</w:t>
      </w:r>
    </w:p>
    <w:p w14:paraId="0C0B73D2" w14:textId="77777777" w:rsidR="009D3D7A" w:rsidRPr="001C1B84" w:rsidRDefault="009D3D7A" w:rsidP="009D3D7A">
      <w:pPr>
        <w:pStyle w:val="Prrafodelista"/>
        <w:ind w:left="720"/>
        <w:contextualSpacing/>
        <w:jc w:val="both"/>
        <w:rPr>
          <w:rFonts w:ascii="Century Gothic" w:hAnsi="Century Gothic"/>
          <w:sz w:val="20"/>
          <w:szCs w:val="20"/>
        </w:rPr>
      </w:pPr>
    </w:p>
    <w:p w14:paraId="2E66EA4D" w14:textId="77777777" w:rsidR="009D3D7A" w:rsidRPr="001C1B84" w:rsidRDefault="009D3D7A" w:rsidP="009D3D7A">
      <w:pPr>
        <w:pStyle w:val="Ttulo3"/>
        <w:numPr>
          <w:ilvl w:val="3"/>
          <w:numId w:val="14"/>
        </w:numPr>
        <w:tabs>
          <w:tab w:val="num" w:pos="360"/>
        </w:tabs>
        <w:ind w:left="0" w:firstLine="0"/>
        <w:jc w:val="both"/>
        <w:rPr>
          <w:rFonts w:ascii="Century Gothic" w:hAnsi="Century Gothic" w:cs="Arial"/>
        </w:rPr>
      </w:pPr>
      <w:bookmarkStart w:id="9" w:name="_Toc128913977"/>
      <w:r w:rsidRPr="001C1B84">
        <w:rPr>
          <w:rFonts w:ascii="Century Gothic" w:hAnsi="Century Gothic" w:cs="Arial"/>
        </w:rPr>
        <w:t>Componente Contable Normas NIC-SP</w:t>
      </w:r>
      <w:bookmarkEnd w:id="9"/>
    </w:p>
    <w:p w14:paraId="3D37497D" w14:textId="77777777" w:rsidR="009D3D7A" w:rsidRPr="001C1B84" w:rsidRDefault="009D3D7A" w:rsidP="009D3D7A">
      <w:pPr>
        <w:jc w:val="both"/>
        <w:rPr>
          <w:rFonts w:ascii="Century Gothic" w:hAnsi="Century Gothic"/>
          <w:sz w:val="20"/>
          <w:szCs w:val="20"/>
        </w:rPr>
      </w:pPr>
    </w:p>
    <w:p w14:paraId="0D0B1F1F" w14:textId="77777777" w:rsidR="009D3D7A" w:rsidRPr="001C1B84" w:rsidRDefault="009D3D7A" w:rsidP="009D3D7A">
      <w:pPr>
        <w:pStyle w:val="Prrafodelista"/>
        <w:numPr>
          <w:ilvl w:val="0"/>
          <w:numId w:val="5"/>
        </w:numPr>
        <w:contextualSpacing/>
        <w:jc w:val="both"/>
        <w:rPr>
          <w:rFonts w:ascii="Century Gothic" w:hAnsi="Century Gothic"/>
          <w:sz w:val="20"/>
          <w:szCs w:val="20"/>
        </w:rPr>
      </w:pPr>
      <w:r w:rsidRPr="001C1B84">
        <w:rPr>
          <w:rFonts w:ascii="Century Gothic" w:hAnsi="Century Gothic"/>
          <w:sz w:val="20"/>
          <w:szCs w:val="20"/>
        </w:rPr>
        <w:t>Clasificación contable</w:t>
      </w:r>
    </w:p>
    <w:p w14:paraId="7EB5B283" w14:textId="77777777" w:rsidR="009D3D7A" w:rsidRPr="001C1B84" w:rsidRDefault="009D3D7A" w:rsidP="009D3D7A">
      <w:pPr>
        <w:pStyle w:val="Prrafodelista"/>
        <w:numPr>
          <w:ilvl w:val="0"/>
          <w:numId w:val="5"/>
        </w:numPr>
        <w:contextualSpacing/>
        <w:jc w:val="both"/>
        <w:rPr>
          <w:rFonts w:ascii="Century Gothic" w:hAnsi="Century Gothic"/>
          <w:sz w:val="20"/>
          <w:szCs w:val="20"/>
        </w:rPr>
      </w:pPr>
      <w:r w:rsidRPr="001C1B84">
        <w:rPr>
          <w:rFonts w:ascii="Century Gothic" w:hAnsi="Century Gothic"/>
          <w:sz w:val="20"/>
          <w:szCs w:val="20"/>
        </w:rPr>
        <w:t>Destino económico</w:t>
      </w:r>
    </w:p>
    <w:p w14:paraId="1B8E4C05" w14:textId="77777777" w:rsidR="009D3D7A" w:rsidRPr="001C1B84" w:rsidRDefault="009D3D7A" w:rsidP="009D3D7A">
      <w:pPr>
        <w:pStyle w:val="Prrafodelista"/>
        <w:numPr>
          <w:ilvl w:val="0"/>
          <w:numId w:val="5"/>
        </w:numPr>
        <w:contextualSpacing/>
        <w:jc w:val="both"/>
        <w:rPr>
          <w:rFonts w:ascii="Century Gothic" w:hAnsi="Century Gothic"/>
          <w:sz w:val="20"/>
          <w:szCs w:val="20"/>
        </w:rPr>
      </w:pPr>
      <w:r w:rsidRPr="001C1B84">
        <w:rPr>
          <w:rFonts w:ascii="Century Gothic" w:hAnsi="Century Gothic"/>
          <w:sz w:val="20"/>
          <w:szCs w:val="20"/>
        </w:rPr>
        <w:t xml:space="preserve">Uso o destinación </w:t>
      </w:r>
    </w:p>
    <w:p w14:paraId="3D071C08" w14:textId="77777777" w:rsidR="009D3D7A" w:rsidRPr="001C1B84" w:rsidRDefault="009D3D7A" w:rsidP="009D3D7A">
      <w:pPr>
        <w:pStyle w:val="Prrafodelista"/>
        <w:numPr>
          <w:ilvl w:val="0"/>
          <w:numId w:val="5"/>
        </w:numPr>
        <w:contextualSpacing/>
        <w:jc w:val="both"/>
        <w:rPr>
          <w:rFonts w:ascii="Century Gothic" w:hAnsi="Century Gothic"/>
          <w:sz w:val="20"/>
          <w:szCs w:val="20"/>
        </w:rPr>
      </w:pPr>
      <w:r w:rsidRPr="001C1B84">
        <w:rPr>
          <w:rFonts w:ascii="Century Gothic" w:hAnsi="Century Gothic"/>
          <w:sz w:val="20"/>
          <w:szCs w:val="20"/>
        </w:rPr>
        <w:t>Valor de salvamento</w:t>
      </w:r>
    </w:p>
    <w:p w14:paraId="54CB2BEE" w14:textId="77777777" w:rsidR="009D3D7A" w:rsidRPr="001C1B84" w:rsidRDefault="009D3D7A" w:rsidP="009D3D7A">
      <w:pPr>
        <w:pStyle w:val="Prrafodelista"/>
        <w:numPr>
          <w:ilvl w:val="0"/>
          <w:numId w:val="5"/>
        </w:numPr>
        <w:contextualSpacing/>
        <w:jc w:val="both"/>
        <w:rPr>
          <w:rFonts w:ascii="Century Gothic" w:hAnsi="Century Gothic"/>
          <w:sz w:val="20"/>
          <w:szCs w:val="20"/>
        </w:rPr>
      </w:pPr>
      <w:r w:rsidRPr="001C1B84">
        <w:rPr>
          <w:rFonts w:ascii="Century Gothic" w:hAnsi="Century Gothic"/>
          <w:sz w:val="20"/>
          <w:szCs w:val="20"/>
        </w:rPr>
        <w:t xml:space="preserve">Valor razonable </w:t>
      </w:r>
    </w:p>
    <w:p w14:paraId="11613F2D" w14:textId="77777777" w:rsidR="009D3D7A" w:rsidRPr="001C1B84" w:rsidRDefault="009D3D7A" w:rsidP="009D3D7A">
      <w:pPr>
        <w:pStyle w:val="Prrafodelista"/>
        <w:numPr>
          <w:ilvl w:val="0"/>
          <w:numId w:val="5"/>
        </w:numPr>
        <w:contextualSpacing/>
        <w:jc w:val="both"/>
        <w:rPr>
          <w:rFonts w:ascii="Century Gothic" w:hAnsi="Century Gothic"/>
          <w:sz w:val="20"/>
          <w:szCs w:val="20"/>
        </w:rPr>
      </w:pPr>
      <w:r w:rsidRPr="001C1B84">
        <w:rPr>
          <w:rFonts w:ascii="Century Gothic" w:hAnsi="Century Gothic"/>
          <w:sz w:val="20"/>
          <w:szCs w:val="20"/>
        </w:rPr>
        <w:t>Tipo de inmueble (fiscal o de uso público, otros)</w:t>
      </w:r>
    </w:p>
    <w:p w14:paraId="5AC16289" w14:textId="77777777" w:rsidR="009D3D7A" w:rsidRPr="001C1B84" w:rsidRDefault="009D3D7A" w:rsidP="009D3D7A">
      <w:pPr>
        <w:pStyle w:val="Prrafodelista"/>
        <w:jc w:val="both"/>
        <w:rPr>
          <w:rFonts w:ascii="Century Gothic" w:hAnsi="Century Gothic"/>
          <w:sz w:val="20"/>
          <w:szCs w:val="20"/>
        </w:rPr>
      </w:pPr>
    </w:p>
    <w:p w14:paraId="47EDFCA8" w14:textId="77777777" w:rsidR="009D3D7A" w:rsidRPr="001C1B84" w:rsidRDefault="009D3D7A" w:rsidP="009D3D7A">
      <w:pPr>
        <w:pStyle w:val="Ttulo2"/>
        <w:numPr>
          <w:ilvl w:val="3"/>
          <w:numId w:val="14"/>
        </w:numPr>
        <w:tabs>
          <w:tab w:val="num" w:pos="360"/>
        </w:tabs>
        <w:ind w:left="0" w:firstLine="0"/>
        <w:jc w:val="both"/>
        <w:rPr>
          <w:rFonts w:ascii="Century Gothic" w:hAnsi="Century Gothic" w:cs="Arial"/>
          <w:b/>
          <w:bCs/>
          <w:i/>
          <w:iCs/>
          <w:sz w:val="20"/>
        </w:rPr>
      </w:pPr>
      <w:bookmarkStart w:id="10" w:name="_Toc128913978"/>
      <w:r w:rsidRPr="001C1B84">
        <w:rPr>
          <w:rFonts w:ascii="Century Gothic" w:hAnsi="Century Gothic" w:cs="Arial"/>
          <w:b/>
          <w:bCs/>
          <w:sz w:val="20"/>
        </w:rPr>
        <w:t>Identificación general del inmueble</w:t>
      </w:r>
      <w:bookmarkEnd w:id="10"/>
      <w:r w:rsidRPr="001C1B84">
        <w:rPr>
          <w:rFonts w:ascii="Century Gothic" w:hAnsi="Century Gothic" w:cs="Arial"/>
          <w:b/>
          <w:bCs/>
          <w:sz w:val="20"/>
        </w:rPr>
        <w:t xml:space="preserve"> </w:t>
      </w:r>
    </w:p>
    <w:p w14:paraId="10029F89" w14:textId="77777777" w:rsidR="009D3D7A" w:rsidRPr="001C1B84" w:rsidRDefault="009D3D7A" w:rsidP="009D3D7A">
      <w:pPr>
        <w:ind w:left="1418"/>
        <w:jc w:val="both"/>
        <w:rPr>
          <w:rFonts w:ascii="Century Gothic" w:hAnsi="Century Gothic"/>
          <w:sz w:val="20"/>
          <w:szCs w:val="20"/>
        </w:rPr>
      </w:pPr>
    </w:p>
    <w:p w14:paraId="4FAF10D4" w14:textId="77777777" w:rsidR="009D3D7A" w:rsidRPr="001C1B84" w:rsidRDefault="009D3D7A" w:rsidP="009D3D7A">
      <w:pPr>
        <w:pStyle w:val="Prrafodelista"/>
        <w:numPr>
          <w:ilvl w:val="4"/>
          <w:numId w:val="14"/>
        </w:numPr>
        <w:contextualSpacing/>
        <w:jc w:val="both"/>
        <w:rPr>
          <w:rFonts w:ascii="Century Gothic" w:hAnsi="Century Gothic"/>
          <w:b/>
          <w:bCs/>
          <w:sz w:val="20"/>
          <w:szCs w:val="20"/>
        </w:rPr>
      </w:pPr>
      <w:r w:rsidRPr="001C1B84">
        <w:rPr>
          <w:rFonts w:ascii="Century Gothic" w:hAnsi="Century Gothic"/>
          <w:b/>
          <w:bCs/>
          <w:sz w:val="20"/>
          <w:szCs w:val="20"/>
        </w:rPr>
        <w:t xml:space="preserve">Código DANE </w:t>
      </w:r>
    </w:p>
    <w:p w14:paraId="0A25687D" w14:textId="77777777" w:rsidR="009D3D7A" w:rsidRPr="001C1B84" w:rsidRDefault="009D3D7A" w:rsidP="009D3D7A">
      <w:pPr>
        <w:pStyle w:val="Prrafodelista"/>
        <w:ind w:left="1800"/>
        <w:jc w:val="both"/>
        <w:rPr>
          <w:rFonts w:ascii="Century Gothic" w:hAnsi="Century Gothic"/>
          <w:b/>
          <w:bCs/>
          <w:sz w:val="20"/>
          <w:szCs w:val="20"/>
        </w:rPr>
      </w:pPr>
    </w:p>
    <w:p w14:paraId="58264439"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Nombre del establecimiento </w:t>
      </w:r>
    </w:p>
    <w:p w14:paraId="4F141D1E"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Nombre del inmueble </w:t>
      </w:r>
    </w:p>
    <w:p w14:paraId="51ADDCA4"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Dirección del inmueble</w:t>
      </w:r>
    </w:p>
    <w:p w14:paraId="15F66A21"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Ubicación del Inmueble</w:t>
      </w:r>
    </w:p>
    <w:p w14:paraId="295232B4"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Localización General del inmueble </w:t>
      </w:r>
    </w:p>
    <w:p w14:paraId="516FFE81"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Ciudad de Ubicación </w:t>
      </w:r>
    </w:p>
    <w:p w14:paraId="50836FE8"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Departamento</w:t>
      </w:r>
    </w:p>
    <w:p w14:paraId="5D68F756"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Clase de inmueble </w:t>
      </w:r>
    </w:p>
    <w:p w14:paraId="1EE59934"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Tipo de inmueble </w:t>
      </w:r>
    </w:p>
    <w:p w14:paraId="69331623" w14:textId="77777777" w:rsidR="009D3D7A" w:rsidRPr="001C1B84" w:rsidRDefault="009D3D7A" w:rsidP="009D3D7A">
      <w:pPr>
        <w:pStyle w:val="Prrafodelista"/>
        <w:numPr>
          <w:ilvl w:val="1"/>
          <w:numId w:val="8"/>
        </w:numPr>
        <w:contextualSpacing/>
        <w:jc w:val="both"/>
        <w:rPr>
          <w:rFonts w:ascii="Century Gothic" w:hAnsi="Century Gothic"/>
          <w:sz w:val="20"/>
          <w:szCs w:val="20"/>
        </w:rPr>
      </w:pPr>
      <w:r w:rsidRPr="001C1B84">
        <w:rPr>
          <w:rFonts w:ascii="Century Gothic" w:hAnsi="Century Gothic"/>
          <w:sz w:val="20"/>
          <w:szCs w:val="20"/>
        </w:rPr>
        <w:t xml:space="preserve">Destinación o uso </w:t>
      </w:r>
    </w:p>
    <w:p w14:paraId="67E52A08" w14:textId="77777777" w:rsidR="009D3D7A" w:rsidRPr="001C1B84" w:rsidRDefault="009D3D7A" w:rsidP="009D3D7A">
      <w:pPr>
        <w:pStyle w:val="Prrafodelista"/>
        <w:ind w:left="360"/>
        <w:jc w:val="both"/>
        <w:rPr>
          <w:rFonts w:ascii="Century Gothic" w:hAnsi="Century Gothic"/>
          <w:sz w:val="20"/>
          <w:szCs w:val="20"/>
        </w:rPr>
      </w:pPr>
    </w:p>
    <w:p w14:paraId="5D8A75A2" w14:textId="77777777" w:rsidR="009D3D7A" w:rsidRPr="001C1B84" w:rsidRDefault="009D3D7A" w:rsidP="009D3D7A">
      <w:pPr>
        <w:pStyle w:val="Prrafodelista"/>
        <w:numPr>
          <w:ilvl w:val="3"/>
          <w:numId w:val="14"/>
        </w:numPr>
        <w:contextualSpacing/>
        <w:jc w:val="both"/>
        <w:rPr>
          <w:rFonts w:ascii="Century Gothic" w:hAnsi="Century Gothic"/>
          <w:b/>
          <w:bCs/>
          <w:sz w:val="20"/>
          <w:szCs w:val="20"/>
        </w:rPr>
      </w:pPr>
      <w:r w:rsidRPr="001C1B84">
        <w:rPr>
          <w:rFonts w:ascii="Century Gothic" w:hAnsi="Century Gothic"/>
          <w:b/>
          <w:bCs/>
          <w:sz w:val="20"/>
          <w:szCs w:val="20"/>
        </w:rPr>
        <w:t xml:space="preserve">Información Jurídica del Inmueble </w:t>
      </w:r>
    </w:p>
    <w:p w14:paraId="23CFA3F1" w14:textId="77777777" w:rsidR="009D3D7A" w:rsidRPr="001C1B84" w:rsidRDefault="009D3D7A" w:rsidP="009D3D7A">
      <w:pPr>
        <w:pStyle w:val="Prrafodelista"/>
        <w:ind w:left="1800"/>
        <w:jc w:val="both"/>
        <w:rPr>
          <w:rFonts w:ascii="Century Gothic" w:hAnsi="Century Gothic"/>
          <w:b/>
          <w:bCs/>
          <w:sz w:val="20"/>
          <w:szCs w:val="20"/>
        </w:rPr>
      </w:pPr>
    </w:p>
    <w:p w14:paraId="6FD11117"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 xml:space="preserve">Tipo de Documento Propiedad </w:t>
      </w:r>
    </w:p>
    <w:p w14:paraId="42899691"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Número de documento</w:t>
      </w:r>
    </w:p>
    <w:p w14:paraId="33621237"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Fecha de documento</w:t>
      </w:r>
    </w:p>
    <w:p w14:paraId="5461A424"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Numero de Notaría o dependencia de origen.</w:t>
      </w:r>
    </w:p>
    <w:p w14:paraId="40E2E2F4"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Lugar de expedición</w:t>
      </w:r>
    </w:p>
    <w:p w14:paraId="5B29775E"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Cédula (o Registro) Catastral</w:t>
      </w:r>
    </w:p>
    <w:p w14:paraId="60D52AFC"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lastRenderedPageBreak/>
        <w:t>Matrícula Inmobiliaria</w:t>
      </w:r>
    </w:p>
    <w:p w14:paraId="6CDEFD94"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Porcentaje de Propiedad</w:t>
      </w:r>
    </w:p>
    <w:p w14:paraId="41B31685" w14:textId="77777777" w:rsidR="009D3D7A" w:rsidRPr="001C1B84" w:rsidRDefault="009D3D7A" w:rsidP="009D3D7A">
      <w:pPr>
        <w:pStyle w:val="Prrafodelista"/>
        <w:numPr>
          <w:ilvl w:val="1"/>
          <w:numId w:val="9"/>
        </w:numPr>
        <w:contextualSpacing/>
        <w:jc w:val="both"/>
        <w:rPr>
          <w:rFonts w:ascii="Century Gothic" w:hAnsi="Century Gothic"/>
          <w:sz w:val="20"/>
          <w:szCs w:val="20"/>
        </w:rPr>
      </w:pPr>
      <w:r w:rsidRPr="001C1B84">
        <w:rPr>
          <w:rFonts w:ascii="Century Gothic" w:hAnsi="Century Gothic"/>
          <w:sz w:val="20"/>
          <w:szCs w:val="20"/>
        </w:rPr>
        <w:t>Nombre de otros propietarios</w:t>
      </w:r>
    </w:p>
    <w:p w14:paraId="0E73BA9F" w14:textId="77777777" w:rsidR="009D3D7A" w:rsidRPr="001C1B84" w:rsidRDefault="009D3D7A" w:rsidP="009D3D7A">
      <w:pPr>
        <w:pStyle w:val="Prrafodelista"/>
        <w:jc w:val="both"/>
        <w:rPr>
          <w:rFonts w:ascii="Century Gothic" w:hAnsi="Century Gothic"/>
          <w:sz w:val="20"/>
          <w:szCs w:val="20"/>
        </w:rPr>
      </w:pPr>
    </w:p>
    <w:p w14:paraId="08CB121F" w14:textId="77777777" w:rsidR="009D3D7A" w:rsidRPr="001C1B84" w:rsidRDefault="009D3D7A" w:rsidP="009D3D7A">
      <w:pPr>
        <w:pStyle w:val="Prrafodelista"/>
        <w:numPr>
          <w:ilvl w:val="3"/>
          <w:numId w:val="14"/>
        </w:numPr>
        <w:contextualSpacing/>
        <w:jc w:val="both"/>
        <w:rPr>
          <w:rFonts w:ascii="Century Gothic" w:hAnsi="Century Gothic"/>
          <w:b/>
          <w:bCs/>
          <w:sz w:val="20"/>
          <w:szCs w:val="20"/>
        </w:rPr>
      </w:pPr>
      <w:r w:rsidRPr="001C1B84">
        <w:rPr>
          <w:rFonts w:ascii="Century Gothic" w:hAnsi="Century Gothic"/>
          <w:b/>
          <w:bCs/>
          <w:sz w:val="20"/>
          <w:szCs w:val="20"/>
        </w:rPr>
        <w:t xml:space="preserve">Información Física del Inmueble </w:t>
      </w:r>
    </w:p>
    <w:p w14:paraId="7182F71E" w14:textId="77777777" w:rsidR="009D3D7A" w:rsidRPr="001C1B84" w:rsidRDefault="009D3D7A" w:rsidP="009D3D7A">
      <w:pPr>
        <w:pStyle w:val="Prrafodelista"/>
        <w:ind w:left="1800"/>
        <w:jc w:val="both"/>
        <w:rPr>
          <w:rFonts w:ascii="Century Gothic" w:hAnsi="Century Gothic"/>
          <w:b/>
          <w:bCs/>
          <w:sz w:val="20"/>
          <w:szCs w:val="20"/>
        </w:rPr>
      </w:pPr>
    </w:p>
    <w:p w14:paraId="484F1B28"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Área – Cabida superficiaria</w:t>
      </w:r>
    </w:p>
    <w:p w14:paraId="1DD19E88"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Área de construcción</w:t>
      </w:r>
    </w:p>
    <w:p w14:paraId="0DBB8873"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Área libre</w:t>
      </w:r>
    </w:p>
    <w:p w14:paraId="6E6E4A5D"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Área construida o privada para predios en PH (Propiedad Horizontal)</w:t>
      </w:r>
    </w:p>
    <w:p w14:paraId="1827C088"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Servicio de Acueducto SI/NO</w:t>
      </w:r>
    </w:p>
    <w:p w14:paraId="4811E6B7"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Servicio de Acueducto legalizado SI/NO</w:t>
      </w:r>
    </w:p>
    <w:p w14:paraId="71CCD4FE"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Servicio de Alcantarillado SI/NO</w:t>
      </w:r>
    </w:p>
    <w:p w14:paraId="5A13FE4C"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Servicio de Alcantarillado legalizado SI/NO</w:t>
      </w:r>
    </w:p>
    <w:p w14:paraId="4C0F8459"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Servicio de Energía Eléctrica</w:t>
      </w:r>
    </w:p>
    <w:p w14:paraId="0A5522E7"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Servicio de Energía Eléctrica legalizado</w:t>
      </w:r>
    </w:p>
    <w:p w14:paraId="7F289FDA"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Situación actual del inmueble (ocupación)</w:t>
      </w:r>
    </w:p>
    <w:p w14:paraId="54896747"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Información sobre el ocupante</w:t>
      </w:r>
    </w:p>
    <w:p w14:paraId="364BFD03" w14:textId="77777777" w:rsidR="009D3D7A" w:rsidRPr="001C1B84" w:rsidRDefault="009D3D7A" w:rsidP="009D3D7A">
      <w:pPr>
        <w:pStyle w:val="Prrafodelista"/>
        <w:numPr>
          <w:ilvl w:val="1"/>
          <w:numId w:val="10"/>
        </w:numPr>
        <w:contextualSpacing/>
        <w:jc w:val="both"/>
        <w:rPr>
          <w:rFonts w:ascii="Century Gothic" w:hAnsi="Century Gothic"/>
          <w:sz w:val="20"/>
          <w:szCs w:val="20"/>
        </w:rPr>
      </w:pPr>
      <w:r w:rsidRPr="001C1B84">
        <w:rPr>
          <w:rFonts w:ascii="Century Gothic" w:hAnsi="Century Gothic"/>
          <w:sz w:val="20"/>
          <w:szCs w:val="20"/>
        </w:rPr>
        <w:t>Vigencia. Corresponde a la fecha de terminación del contrato suscrito con el ocupante, o en el evento de encontrarse invadido el inmueble indica la fecha en que inició la invasión</w:t>
      </w:r>
    </w:p>
    <w:p w14:paraId="1C363D59" w14:textId="77777777" w:rsidR="009D3D7A" w:rsidRPr="001C1B84" w:rsidRDefault="009D3D7A" w:rsidP="009D3D7A">
      <w:pPr>
        <w:jc w:val="both"/>
        <w:rPr>
          <w:rFonts w:ascii="Century Gothic" w:hAnsi="Century Gothic"/>
          <w:sz w:val="20"/>
          <w:szCs w:val="20"/>
        </w:rPr>
      </w:pPr>
    </w:p>
    <w:p w14:paraId="67DC5054" w14:textId="77777777" w:rsidR="009D3D7A" w:rsidRPr="001C1B84" w:rsidRDefault="009D3D7A" w:rsidP="009D3D7A">
      <w:pPr>
        <w:pStyle w:val="Ttulo2"/>
        <w:numPr>
          <w:ilvl w:val="3"/>
          <w:numId w:val="14"/>
        </w:numPr>
        <w:tabs>
          <w:tab w:val="num" w:pos="360"/>
        </w:tabs>
        <w:ind w:left="0" w:firstLine="0"/>
        <w:jc w:val="both"/>
        <w:rPr>
          <w:rFonts w:ascii="Century Gothic" w:hAnsi="Century Gothic" w:cs="Arial"/>
          <w:b/>
          <w:bCs/>
          <w:i/>
          <w:iCs/>
          <w:sz w:val="20"/>
        </w:rPr>
      </w:pPr>
      <w:bookmarkStart w:id="11" w:name="_Toc128913979"/>
      <w:r w:rsidRPr="001C1B84">
        <w:rPr>
          <w:rFonts w:ascii="Century Gothic" w:hAnsi="Century Gothic" w:cs="Arial"/>
          <w:b/>
          <w:bCs/>
          <w:sz w:val="20"/>
        </w:rPr>
        <w:t>Metodología para la elaboración de avalúos comerciales</w:t>
      </w:r>
      <w:bookmarkEnd w:id="11"/>
    </w:p>
    <w:p w14:paraId="0A028DEC" w14:textId="77777777" w:rsidR="009D3D7A" w:rsidRPr="001C1B84" w:rsidRDefault="009D3D7A" w:rsidP="009D3D7A">
      <w:pPr>
        <w:jc w:val="both"/>
        <w:rPr>
          <w:rFonts w:ascii="Century Gothic" w:hAnsi="Century Gothic"/>
          <w:b/>
          <w:bCs/>
          <w:sz w:val="20"/>
          <w:szCs w:val="20"/>
        </w:rPr>
      </w:pPr>
    </w:p>
    <w:p w14:paraId="1F0B3D53" w14:textId="77777777" w:rsidR="009D3D7A" w:rsidRPr="001C1B84" w:rsidRDefault="009D3D7A" w:rsidP="009D3D7A">
      <w:pPr>
        <w:jc w:val="both"/>
        <w:rPr>
          <w:rFonts w:ascii="Century Gothic" w:hAnsi="Century Gothic"/>
          <w:b/>
          <w:bCs/>
          <w:sz w:val="20"/>
          <w:szCs w:val="20"/>
        </w:rPr>
      </w:pPr>
      <w:r w:rsidRPr="001C1B84">
        <w:rPr>
          <w:rFonts w:ascii="Century Gothic" w:hAnsi="Century Gothic"/>
          <w:b/>
          <w:bCs/>
          <w:sz w:val="20"/>
          <w:szCs w:val="20"/>
        </w:rPr>
        <w:t xml:space="preserve">Métodos de avalúo: </w:t>
      </w:r>
      <w:r w:rsidRPr="001C1B84">
        <w:rPr>
          <w:rFonts w:ascii="Century Gothic" w:hAnsi="Century Gothic"/>
          <w:sz w:val="20"/>
          <w:szCs w:val="20"/>
        </w:rPr>
        <w:t xml:space="preserve">Para realizar el avaluó de cada punto de investigación se debe aplicar cualquiera de los siguientes métodos (Resolución 620 /2008): </w:t>
      </w:r>
    </w:p>
    <w:p w14:paraId="0D3C6189" w14:textId="77777777" w:rsidR="009D3D7A" w:rsidRPr="001C1B84" w:rsidRDefault="009D3D7A" w:rsidP="009D3D7A">
      <w:pPr>
        <w:jc w:val="both"/>
        <w:rPr>
          <w:rFonts w:ascii="Century Gothic" w:hAnsi="Century Gothic"/>
          <w:sz w:val="20"/>
          <w:szCs w:val="20"/>
        </w:rPr>
      </w:pPr>
    </w:p>
    <w:p w14:paraId="60768A14"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Método de comparación o de mercado. Es la técnica valuatoria que busca establecer el valor comercial del bien, a partir del estudio de las ofertas o transacciones recientes, de bienes semejantes y comparables al del objeto de avalúo. Tales ofertas o transacciones deberán ser clasificadas, analizadas e interpretadas para llegar a la estimación del valor comercial. </w:t>
      </w:r>
    </w:p>
    <w:p w14:paraId="3E9BFBC8" w14:textId="77777777" w:rsidR="009D3D7A" w:rsidRPr="001C1B84" w:rsidRDefault="009D3D7A" w:rsidP="009D3D7A">
      <w:pPr>
        <w:jc w:val="both"/>
        <w:rPr>
          <w:rFonts w:ascii="Century Gothic" w:hAnsi="Century Gothic"/>
          <w:sz w:val="20"/>
          <w:szCs w:val="20"/>
        </w:rPr>
      </w:pPr>
    </w:p>
    <w:p w14:paraId="0116EB52"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Método de capitalización de rentas o ingresos. Es la técnica valuatoria que busca establecer el valor comercial de un bien, a partir de las rentas o ingresos que se puedan obtener del mismo bien, o inmuebles semejantes y comparables por sus características físicas, de uso y ubicación, trayendo a valor presente la suma de los probables ingresos o rentas generadas en la vida remanente del bien objeto de avalúo, con una tasa de capitalización o interés. </w:t>
      </w:r>
    </w:p>
    <w:p w14:paraId="674E5D16" w14:textId="77777777" w:rsidR="009D3D7A" w:rsidRPr="001C1B84" w:rsidRDefault="009D3D7A" w:rsidP="009D3D7A">
      <w:pPr>
        <w:jc w:val="both"/>
        <w:rPr>
          <w:rFonts w:ascii="Century Gothic" w:hAnsi="Century Gothic"/>
          <w:sz w:val="20"/>
          <w:szCs w:val="20"/>
        </w:rPr>
      </w:pPr>
    </w:p>
    <w:p w14:paraId="44560CF4"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Método de costo de reposición. Es el que busca establecer el valor comercial del bien objeto de avalúo a partir de estimar el costo total de la construcción a precios de hoy, un bien semejante al del objeto de avaluó, y restarle la depreciación acumulada. Al valor así́ obtenido se le debe adicionar el valor correspondiente al terreno. </w:t>
      </w:r>
    </w:p>
    <w:p w14:paraId="343BCA87" w14:textId="77777777" w:rsidR="009D3D7A" w:rsidRPr="001C1B84" w:rsidRDefault="009D3D7A" w:rsidP="009D3D7A">
      <w:pPr>
        <w:jc w:val="both"/>
        <w:rPr>
          <w:rFonts w:ascii="Century Gothic" w:hAnsi="Century Gothic"/>
          <w:sz w:val="20"/>
          <w:szCs w:val="20"/>
        </w:rPr>
      </w:pPr>
    </w:p>
    <w:p w14:paraId="74D5675E"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Método (técnica) residual. Es el que busca establecer el valor comercial del bien, normalmente para el terreno, a partir de estimar el monto total de las ventas de un proyecto de construcción, acorde con la reglamentación urbanística vigente y de conformidad con el mercado del bien final vendible, en el terreno objeto de avalúo. </w:t>
      </w:r>
    </w:p>
    <w:p w14:paraId="39EB888B" w14:textId="77777777" w:rsidR="009D3D7A" w:rsidRPr="001C1B84" w:rsidRDefault="009D3D7A" w:rsidP="009D3D7A">
      <w:pPr>
        <w:jc w:val="both"/>
        <w:rPr>
          <w:rFonts w:ascii="Century Gothic" w:hAnsi="Century Gothic"/>
          <w:sz w:val="20"/>
          <w:szCs w:val="20"/>
        </w:rPr>
      </w:pPr>
    </w:p>
    <w:p w14:paraId="1BE21F08" w14:textId="77777777" w:rsidR="009D3D7A" w:rsidRPr="001C1B84" w:rsidRDefault="009D3D7A" w:rsidP="009D3D7A">
      <w:pPr>
        <w:numPr>
          <w:ilvl w:val="0"/>
          <w:numId w:val="6"/>
        </w:numPr>
        <w:spacing w:after="0" w:line="240" w:lineRule="auto"/>
        <w:jc w:val="both"/>
        <w:rPr>
          <w:rFonts w:ascii="Century Gothic" w:hAnsi="Century Gothic"/>
          <w:b/>
          <w:bCs/>
          <w:sz w:val="20"/>
          <w:szCs w:val="20"/>
        </w:rPr>
      </w:pPr>
      <w:r w:rsidRPr="001C1B84">
        <w:rPr>
          <w:rFonts w:ascii="Century Gothic" w:hAnsi="Century Gothic"/>
          <w:b/>
          <w:bCs/>
          <w:sz w:val="20"/>
          <w:szCs w:val="20"/>
        </w:rPr>
        <w:t xml:space="preserve">Investigación Indirecta </w:t>
      </w:r>
    </w:p>
    <w:p w14:paraId="4CCD23E9" w14:textId="77777777" w:rsidR="009D3D7A" w:rsidRPr="001C1B84" w:rsidRDefault="009D3D7A" w:rsidP="009D3D7A">
      <w:pPr>
        <w:jc w:val="both"/>
        <w:rPr>
          <w:rFonts w:ascii="Century Gothic" w:hAnsi="Century Gothic"/>
          <w:sz w:val="20"/>
          <w:szCs w:val="20"/>
        </w:rPr>
      </w:pPr>
    </w:p>
    <w:p w14:paraId="74E78FB6"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El ejecutor del estudio debe obtener la información correspondiente al mercado inmobiliario con base en ofertas, avalúos comerciales, compraventa de inmuebles, arrendamientos, transacciones inmobiliarias consultadas en entidades financieras, notarias, lonjas inmobiliarias y avalúos realizados por el IGAC y demás autoridades catastrales con el fin de complementar el avalúo comercial realizado a los puntos de investigación, relacionando la información en el formato vigente de Estudio estadístico del mercado inmobiliario. </w:t>
      </w:r>
    </w:p>
    <w:p w14:paraId="728132CC" w14:textId="77777777" w:rsidR="009D3D7A" w:rsidRPr="001C1B84" w:rsidRDefault="009D3D7A" w:rsidP="009D3D7A">
      <w:pPr>
        <w:jc w:val="both"/>
        <w:rPr>
          <w:rFonts w:ascii="Century Gothic" w:hAnsi="Century Gothic"/>
          <w:sz w:val="20"/>
          <w:szCs w:val="20"/>
        </w:rPr>
      </w:pPr>
    </w:p>
    <w:p w14:paraId="6186BBB6"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Se deben tomar las fotografías a los predios en oferta en campo o si son consultadas de periódicos, revistas o internet fotocopia de las mismas o impresión de los reportes. </w:t>
      </w:r>
    </w:p>
    <w:p w14:paraId="08DC1BD9" w14:textId="77777777" w:rsidR="009D3D7A" w:rsidRPr="001C1B84" w:rsidRDefault="009D3D7A" w:rsidP="009D3D7A">
      <w:pPr>
        <w:jc w:val="both"/>
        <w:rPr>
          <w:rFonts w:ascii="Century Gothic" w:hAnsi="Century Gothic"/>
          <w:sz w:val="20"/>
          <w:szCs w:val="20"/>
        </w:rPr>
      </w:pPr>
    </w:p>
    <w:p w14:paraId="7F25086E" w14:textId="77777777" w:rsidR="009D3D7A" w:rsidRPr="001C1B84" w:rsidRDefault="009D3D7A" w:rsidP="009D3D7A">
      <w:pPr>
        <w:numPr>
          <w:ilvl w:val="0"/>
          <w:numId w:val="6"/>
        </w:numPr>
        <w:spacing w:after="0" w:line="240" w:lineRule="auto"/>
        <w:jc w:val="both"/>
        <w:rPr>
          <w:rFonts w:ascii="Century Gothic" w:hAnsi="Century Gothic"/>
          <w:b/>
          <w:bCs/>
          <w:sz w:val="20"/>
          <w:szCs w:val="20"/>
        </w:rPr>
      </w:pPr>
      <w:r w:rsidRPr="001C1B84">
        <w:rPr>
          <w:rFonts w:ascii="Century Gothic" w:hAnsi="Century Gothic"/>
          <w:b/>
          <w:bCs/>
          <w:sz w:val="20"/>
          <w:szCs w:val="20"/>
        </w:rPr>
        <w:t xml:space="preserve">Investigación directa </w:t>
      </w:r>
    </w:p>
    <w:p w14:paraId="4AC1516E" w14:textId="77777777" w:rsidR="009D3D7A" w:rsidRPr="001C1B84" w:rsidRDefault="009D3D7A" w:rsidP="009D3D7A">
      <w:pPr>
        <w:jc w:val="both"/>
        <w:rPr>
          <w:rFonts w:ascii="Century Gothic" w:hAnsi="Century Gothic"/>
          <w:sz w:val="20"/>
          <w:szCs w:val="20"/>
        </w:rPr>
      </w:pPr>
    </w:p>
    <w:p w14:paraId="755DD155"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Información recolectada a través de encuestas aplicadas, mediante la utilización del formato vigente de investigación directa de valores de terreno y construcción a personas expertas del mercado inmobiliario de la zona que se realiza con el fin de complementar el avalúo comercial realizado a los puntos de investigación. </w:t>
      </w:r>
    </w:p>
    <w:p w14:paraId="2B34AB0F" w14:textId="77777777" w:rsidR="009D3D7A" w:rsidRPr="001C1B84" w:rsidRDefault="009D3D7A" w:rsidP="009D3D7A">
      <w:pPr>
        <w:jc w:val="both"/>
        <w:rPr>
          <w:rFonts w:ascii="Century Gothic" w:hAnsi="Century Gothic"/>
          <w:sz w:val="20"/>
          <w:szCs w:val="20"/>
        </w:rPr>
      </w:pPr>
    </w:p>
    <w:p w14:paraId="1E93179F"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Es necesario que el profesional responsable haya realizado previamente la visita al terreno para conocer el punto de investigación objeto de la encuesta, esta debe hacer referencia al propio bien y debe constatarse que el entrevistado lo conoce tanto en sus aspectos negativos como positivos, si existen limitantes legales deben hacerse mención de ellas para que el encuestado lo tenga en cuenta en la definición del valor. El profesional debe informar con toda claridad sobre la normatividad urbanística del inmueble. </w:t>
      </w:r>
    </w:p>
    <w:p w14:paraId="0BFDF8F2" w14:textId="77777777" w:rsidR="009D3D7A" w:rsidRPr="001C1B84" w:rsidRDefault="009D3D7A" w:rsidP="009D3D7A">
      <w:pPr>
        <w:jc w:val="both"/>
        <w:rPr>
          <w:rFonts w:ascii="Century Gothic" w:hAnsi="Century Gothic"/>
          <w:sz w:val="20"/>
          <w:szCs w:val="20"/>
        </w:rPr>
      </w:pPr>
    </w:p>
    <w:p w14:paraId="294408A6"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En el caso de terreno sin construir, en desarrollo o condición similar, se debe informar al encuestado sobre la potencialidad urbanística y de desarrollo del predio. </w:t>
      </w:r>
    </w:p>
    <w:p w14:paraId="320C8CA4" w14:textId="77777777" w:rsidR="009D3D7A" w:rsidRPr="001C1B84" w:rsidRDefault="009D3D7A" w:rsidP="009D3D7A">
      <w:pPr>
        <w:jc w:val="both"/>
        <w:rPr>
          <w:rFonts w:ascii="Century Gothic" w:hAnsi="Century Gothic"/>
          <w:sz w:val="20"/>
          <w:szCs w:val="20"/>
        </w:rPr>
      </w:pPr>
    </w:p>
    <w:p w14:paraId="267C3C3B"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 xml:space="preserve">Estas encuestas son apoyo al proceso valuatorio, pero no son en si los determinantes del avalúo. El resultado de la investigación directa se registra en los formatos vigentes de </w:t>
      </w:r>
      <w:r w:rsidRPr="001C1B84">
        <w:rPr>
          <w:rFonts w:ascii="Century Gothic" w:hAnsi="Century Gothic"/>
          <w:sz w:val="20"/>
          <w:szCs w:val="20"/>
        </w:rPr>
        <w:lastRenderedPageBreak/>
        <w:t xml:space="preserve">investigación directa de valores de terreno y construcción y Estimación precio unitario según investigación directa e indirecta </w:t>
      </w:r>
    </w:p>
    <w:p w14:paraId="071F764F" w14:textId="77777777" w:rsidR="009D3D7A" w:rsidRPr="001C1B84" w:rsidRDefault="009D3D7A" w:rsidP="009D3D7A">
      <w:pPr>
        <w:jc w:val="both"/>
        <w:rPr>
          <w:rFonts w:ascii="Century Gothic" w:hAnsi="Century Gothic"/>
          <w:sz w:val="20"/>
          <w:szCs w:val="20"/>
        </w:rPr>
      </w:pPr>
    </w:p>
    <w:p w14:paraId="5D0A6421" w14:textId="77777777" w:rsidR="009D3D7A" w:rsidRPr="001C1B84" w:rsidRDefault="009D3D7A" w:rsidP="009D3D7A">
      <w:pPr>
        <w:pStyle w:val="Ttulo2"/>
        <w:numPr>
          <w:ilvl w:val="2"/>
          <w:numId w:val="14"/>
        </w:numPr>
        <w:tabs>
          <w:tab w:val="num" w:pos="360"/>
        </w:tabs>
        <w:ind w:left="0" w:firstLine="0"/>
        <w:jc w:val="both"/>
        <w:rPr>
          <w:rFonts w:ascii="Century Gothic" w:hAnsi="Century Gothic" w:cs="Arial"/>
          <w:b/>
          <w:bCs/>
          <w:i/>
          <w:iCs/>
          <w:sz w:val="20"/>
        </w:rPr>
      </w:pPr>
      <w:bookmarkStart w:id="12" w:name="_Toc128913980"/>
      <w:bookmarkEnd w:id="5"/>
      <w:r w:rsidRPr="001C1B84">
        <w:rPr>
          <w:rFonts w:ascii="Century Gothic" w:hAnsi="Century Gothic" w:cs="Arial"/>
          <w:b/>
          <w:bCs/>
          <w:sz w:val="20"/>
        </w:rPr>
        <w:t>Metodología para actualizar el inventario y los avalúos técnicos de los bienes muebles de la entidad.</w:t>
      </w:r>
      <w:bookmarkEnd w:id="12"/>
    </w:p>
    <w:p w14:paraId="72B01F00" w14:textId="77777777" w:rsidR="009D3D7A" w:rsidRPr="001C1B84" w:rsidRDefault="009D3D7A" w:rsidP="009D3D7A">
      <w:pPr>
        <w:pStyle w:val="Textoindependiente"/>
        <w:spacing w:after="0"/>
        <w:jc w:val="both"/>
        <w:rPr>
          <w:rFonts w:ascii="Century Gothic" w:hAnsi="Century Gothic"/>
        </w:rPr>
      </w:pPr>
    </w:p>
    <w:p w14:paraId="69A23B1C" w14:textId="77777777" w:rsidR="009D3D7A" w:rsidRPr="001C1B84" w:rsidRDefault="009D3D7A" w:rsidP="009D3D7A">
      <w:pPr>
        <w:pStyle w:val="Textoindependiente"/>
        <w:spacing w:after="0"/>
        <w:jc w:val="both"/>
        <w:rPr>
          <w:rFonts w:ascii="Century Gothic" w:hAnsi="Century Gothic"/>
        </w:rPr>
      </w:pPr>
      <w:r w:rsidRPr="001C1B84">
        <w:rPr>
          <w:rFonts w:ascii="Century Gothic" w:hAnsi="Century Gothic"/>
        </w:rPr>
        <w:t>Para desarrollar la actualización del inventario se ha separado en dos etapas o componentes.</w:t>
      </w:r>
    </w:p>
    <w:p w14:paraId="0FC2819C" w14:textId="77777777" w:rsidR="009D3D7A" w:rsidRPr="001C1B84" w:rsidRDefault="009D3D7A" w:rsidP="009D3D7A">
      <w:pPr>
        <w:pStyle w:val="Textoindependiente"/>
        <w:spacing w:after="0"/>
        <w:jc w:val="both"/>
        <w:rPr>
          <w:rFonts w:ascii="Century Gothic" w:hAnsi="Century Gothic"/>
        </w:rPr>
      </w:pPr>
    </w:p>
    <w:p w14:paraId="33F2E862" w14:textId="77777777" w:rsidR="009D3D7A" w:rsidRPr="001C1B84" w:rsidRDefault="009D3D7A" w:rsidP="009D3D7A">
      <w:pPr>
        <w:pStyle w:val="Ttulo3"/>
        <w:numPr>
          <w:ilvl w:val="3"/>
          <w:numId w:val="14"/>
        </w:numPr>
        <w:tabs>
          <w:tab w:val="num" w:pos="360"/>
        </w:tabs>
        <w:ind w:left="0" w:firstLine="0"/>
        <w:jc w:val="both"/>
        <w:rPr>
          <w:rFonts w:ascii="Century Gothic" w:hAnsi="Century Gothic" w:cs="Arial"/>
        </w:rPr>
      </w:pPr>
      <w:bookmarkStart w:id="13" w:name="_Toc128913981"/>
      <w:r w:rsidRPr="001C1B84">
        <w:rPr>
          <w:rFonts w:ascii="Century Gothic" w:hAnsi="Century Gothic" w:cs="Arial"/>
        </w:rPr>
        <w:t>Componente físico</w:t>
      </w:r>
      <w:bookmarkEnd w:id="13"/>
    </w:p>
    <w:p w14:paraId="08C9BF9D" w14:textId="77777777" w:rsidR="009D3D7A" w:rsidRPr="001C1B84" w:rsidRDefault="009D3D7A" w:rsidP="009D3D7A">
      <w:pPr>
        <w:tabs>
          <w:tab w:val="left" w:pos="1078"/>
        </w:tabs>
        <w:jc w:val="both"/>
        <w:rPr>
          <w:rFonts w:ascii="Century Gothic" w:hAnsi="Century Gothic"/>
          <w:sz w:val="20"/>
          <w:szCs w:val="20"/>
        </w:rPr>
      </w:pPr>
      <w:r w:rsidRPr="001C1B84">
        <w:rPr>
          <w:rFonts w:ascii="Century Gothic" w:hAnsi="Century Gothic"/>
          <w:sz w:val="20"/>
          <w:szCs w:val="20"/>
        </w:rPr>
        <w:tab/>
      </w:r>
    </w:p>
    <w:p w14:paraId="3EC88C81"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Cada bien mueble será etiquetado, con un stiker laminado de seguridad de 2,5 por 5 centímetros el cual contendrá el logo de la institución un código de barras y el numero consecutivo para todo el inventario.</w:t>
      </w:r>
    </w:p>
    <w:p w14:paraId="2EC2F99F"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La información que contiene el código de barras es:</w:t>
      </w:r>
    </w:p>
    <w:p w14:paraId="08EF0A8D"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Producto</w:t>
      </w:r>
    </w:p>
    <w:p w14:paraId="55748921" w14:textId="77777777" w:rsidR="009D3D7A" w:rsidRPr="001C1B84" w:rsidRDefault="009D3D7A" w:rsidP="009D3D7A">
      <w:pPr>
        <w:jc w:val="both"/>
        <w:rPr>
          <w:rFonts w:ascii="Century Gothic" w:hAnsi="Century Gothic"/>
          <w:sz w:val="20"/>
          <w:szCs w:val="20"/>
        </w:rPr>
      </w:pPr>
    </w:p>
    <w:p w14:paraId="72BDA2E2"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Placa</w:t>
      </w:r>
    </w:p>
    <w:p w14:paraId="701EA784" w14:textId="77777777" w:rsidR="009D3D7A" w:rsidRPr="001C1B84" w:rsidRDefault="009D3D7A" w:rsidP="009D3D7A">
      <w:pPr>
        <w:pStyle w:val="Prrafodelista"/>
        <w:numPr>
          <w:ilvl w:val="0"/>
          <w:numId w:val="11"/>
        </w:numPr>
        <w:contextualSpacing/>
        <w:jc w:val="both"/>
        <w:rPr>
          <w:rFonts w:ascii="Century Gothic" w:hAnsi="Century Gothic"/>
          <w:sz w:val="20"/>
          <w:szCs w:val="20"/>
        </w:rPr>
      </w:pPr>
      <w:r w:rsidRPr="001C1B84">
        <w:rPr>
          <w:rFonts w:ascii="Century Gothic" w:hAnsi="Century Gothic"/>
          <w:sz w:val="20"/>
          <w:szCs w:val="20"/>
        </w:rPr>
        <w:t xml:space="preserve">Responsable cedula </w:t>
      </w:r>
    </w:p>
    <w:p w14:paraId="630D770D"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Nombre Responsable</w:t>
      </w:r>
    </w:p>
    <w:p w14:paraId="169D108E"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Descripción genérica</w:t>
      </w:r>
    </w:p>
    <w:p w14:paraId="2290E178"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Clase</w:t>
      </w:r>
    </w:p>
    <w:p w14:paraId="2B266FD1"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Familia</w:t>
      </w:r>
    </w:p>
    <w:p w14:paraId="7C9C79BE"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Clasificación</w:t>
      </w:r>
    </w:p>
    <w:p w14:paraId="19F75F8B"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Cuenta Contable</w:t>
      </w:r>
    </w:p>
    <w:p w14:paraId="4219122A" w14:textId="77777777" w:rsidR="009D3D7A" w:rsidRPr="001C1B84" w:rsidRDefault="009D3D7A" w:rsidP="009D3D7A">
      <w:pPr>
        <w:pStyle w:val="Prrafodelista"/>
        <w:numPr>
          <w:ilvl w:val="0"/>
          <w:numId w:val="11"/>
        </w:numPr>
        <w:contextualSpacing/>
        <w:jc w:val="both"/>
        <w:rPr>
          <w:rFonts w:ascii="Century Gothic" w:hAnsi="Century Gothic"/>
          <w:sz w:val="20"/>
          <w:szCs w:val="20"/>
        </w:rPr>
      </w:pPr>
      <w:r w:rsidRPr="001C1B84">
        <w:rPr>
          <w:rFonts w:ascii="Century Gothic" w:hAnsi="Century Gothic"/>
          <w:sz w:val="20"/>
          <w:szCs w:val="20"/>
        </w:rPr>
        <w:t>Localización</w:t>
      </w:r>
    </w:p>
    <w:p w14:paraId="56DAB7B6" w14:textId="77777777" w:rsidR="009D3D7A" w:rsidRPr="001C1B84" w:rsidRDefault="009D3D7A" w:rsidP="009D3D7A">
      <w:pPr>
        <w:pStyle w:val="Prrafodelista"/>
        <w:numPr>
          <w:ilvl w:val="0"/>
          <w:numId w:val="11"/>
        </w:numPr>
        <w:contextualSpacing/>
        <w:jc w:val="both"/>
        <w:rPr>
          <w:rFonts w:ascii="Century Gothic" w:hAnsi="Century Gothic"/>
          <w:sz w:val="20"/>
          <w:szCs w:val="20"/>
        </w:rPr>
      </w:pPr>
      <w:r w:rsidRPr="001C1B84">
        <w:rPr>
          <w:rFonts w:ascii="Century Gothic" w:hAnsi="Century Gothic"/>
          <w:sz w:val="20"/>
          <w:szCs w:val="20"/>
        </w:rPr>
        <w:t>Centro de Costos</w:t>
      </w:r>
    </w:p>
    <w:p w14:paraId="1FC6B4E2"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Complemento descripción</w:t>
      </w:r>
    </w:p>
    <w:p w14:paraId="25160DEE"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Marca</w:t>
      </w:r>
    </w:p>
    <w:p w14:paraId="5A213668"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Modelo</w:t>
      </w:r>
    </w:p>
    <w:p w14:paraId="4731108B"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Serie</w:t>
      </w:r>
    </w:p>
    <w:p w14:paraId="40547964"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Color</w:t>
      </w:r>
    </w:p>
    <w:p w14:paraId="03C1C374"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Vetustez (en años)</w:t>
      </w:r>
    </w:p>
    <w:p w14:paraId="3B73EF9D"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Estado</w:t>
      </w:r>
    </w:p>
    <w:p w14:paraId="69BC35E5"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Código foto (imagen activa)</w:t>
      </w:r>
    </w:p>
    <w:p w14:paraId="746C868D"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Cotización 1</w:t>
      </w:r>
    </w:p>
    <w:p w14:paraId="0272D2CD"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Cotización 2</w:t>
      </w:r>
    </w:p>
    <w:p w14:paraId="0A0DB474"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 xml:space="preserve">Cotización 3 </w:t>
      </w:r>
    </w:p>
    <w:p w14:paraId="4AD07F8A"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Valor referencia</w:t>
      </w:r>
    </w:p>
    <w:p w14:paraId="3BB9A0D9"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Vida útil meses</w:t>
      </w:r>
    </w:p>
    <w:p w14:paraId="5B5C7993"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 xml:space="preserve">Depreciación </w:t>
      </w:r>
    </w:p>
    <w:p w14:paraId="05B0E6F4"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 depreciación</w:t>
      </w:r>
    </w:p>
    <w:p w14:paraId="6E98DD5A"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 xml:space="preserve">Valor mueble avalúo </w:t>
      </w:r>
    </w:p>
    <w:p w14:paraId="7970C72B"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Vida remanente contable meses</w:t>
      </w:r>
    </w:p>
    <w:p w14:paraId="7695B806"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Vida corrida</w:t>
      </w:r>
    </w:p>
    <w:p w14:paraId="68C1C4AC"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lastRenderedPageBreak/>
        <w:t xml:space="preserve">Porcentaje salvamento </w:t>
      </w:r>
    </w:p>
    <w:p w14:paraId="6CA2FC7C"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Valor salvamento</w:t>
      </w:r>
    </w:p>
    <w:p w14:paraId="43BD0081" w14:textId="77777777" w:rsidR="009D3D7A" w:rsidRPr="001C1B84" w:rsidRDefault="009D3D7A" w:rsidP="009D3D7A">
      <w:pPr>
        <w:pStyle w:val="Default"/>
        <w:numPr>
          <w:ilvl w:val="0"/>
          <w:numId w:val="11"/>
        </w:numPr>
        <w:jc w:val="both"/>
        <w:rPr>
          <w:rFonts w:ascii="Century Gothic" w:hAnsi="Century Gothic"/>
          <w:color w:val="auto"/>
          <w:sz w:val="20"/>
          <w:szCs w:val="20"/>
        </w:rPr>
      </w:pPr>
      <w:r w:rsidRPr="001C1B84">
        <w:rPr>
          <w:rFonts w:ascii="Century Gothic" w:hAnsi="Century Gothic"/>
          <w:color w:val="auto"/>
          <w:sz w:val="20"/>
          <w:szCs w:val="20"/>
        </w:rPr>
        <w:t>Nueva vida útil.</w:t>
      </w:r>
    </w:p>
    <w:p w14:paraId="44C93E70" w14:textId="77777777" w:rsidR="009D3D7A" w:rsidRPr="001C1B84" w:rsidRDefault="009D3D7A" w:rsidP="009D3D7A">
      <w:pPr>
        <w:pStyle w:val="Default"/>
        <w:ind w:left="720"/>
        <w:jc w:val="both"/>
        <w:rPr>
          <w:rFonts w:ascii="Century Gothic" w:hAnsi="Century Gothic"/>
          <w:color w:val="auto"/>
          <w:sz w:val="20"/>
          <w:szCs w:val="20"/>
        </w:rPr>
      </w:pPr>
    </w:p>
    <w:p w14:paraId="776D25E7" w14:textId="77777777" w:rsidR="009D3D7A" w:rsidRPr="001C1B84" w:rsidRDefault="009D3D7A" w:rsidP="009D3D7A">
      <w:pPr>
        <w:pStyle w:val="Ttulo3"/>
        <w:numPr>
          <w:ilvl w:val="3"/>
          <w:numId w:val="14"/>
        </w:numPr>
        <w:tabs>
          <w:tab w:val="num" w:pos="360"/>
        </w:tabs>
        <w:ind w:left="0" w:firstLine="0"/>
        <w:jc w:val="both"/>
        <w:rPr>
          <w:rFonts w:ascii="Century Gothic" w:hAnsi="Century Gothic" w:cs="Arial"/>
        </w:rPr>
      </w:pPr>
      <w:bookmarkStart w:id="14" w:name="_Toc128913982"/>
      <w:r w:rsidRPr="001C1B84">
        <w:rPr>
          <w:rFonts w:ascii="Century Gothic" w:hAnsi="Century Gothic" w:cs="Arial"/>
        </w:rPr>
        <w:t>Componente económico</w:t>
      </w:r>
      <w:bookmarkEnd w:id="14"/>
    </w:p>
    <w:p w14:paraId="3153F93E" w14:textId="77777777" w:rsidR="009D3D7A" w:rsidRPr="001C1B84" w:rsidRDefault="009D3D7A" w:rsidP="009D3D7A">
      <w:pPr>
        <w:jc w:val="both"/>
        <w:rPr>
          <w:rFonts w:ascii="Century Gothic" w:hAnsi="Century Gothic"/>
          <w:sz w:val="20"/>
          <w:szCs w:val="20"/>
        </w:rPr>
      </w:pPr>
    </w:p>
    <w:p w14:paraId="7D8D8FC5" w14:textId="77777777" w:rsidR="009D3D7A" w:rsidRPr="001C1B84" w:rsidRDefault="009D3D7A" w:rsidP="009D3D7A">
      <w:pPr>
        <w:pStyle w:val="Default"/>
        <w:numPr>
          <w:ilvl w:val="0"/>
          <w:numId w:val="12"/>
        </w:numPr>
        <w:jc w:val="both"/>
        <w:rPr>
          <w:rFonts w:ascii="Century Gothic" w:hAnsi="Century Gothic"/>
          <w:color w:val="auto"/>
          <w:sz w:val="20"/>
          <w:szCs w:val="20"/>
        </w:rPr>
      </w:pPr>
      <w:r w:rsidRPr="001C1B84">
        <w:rPr>
          <w:rFonts w:ascii="Century Gothic" w:hAnsi="Century Gothic"/>
          <w:color w:val="auto"/>
          <w:sz w:val="20"/>
          <w:szCs w:val="20"/>
        </w:rPr>
        <w:t>Estudio de mercado de cada bien</w:t>
      </w:r>
    </w:p>
    <w:p w14:paraId="3AD16703" w14:textId="77777777" w:rsidR="009D3D7A" w:rsidRPr="001C1B84" w:rsidRDefault="009D3D7A" w:rsidP="009D3D7A">
      <w:pPr>
        <w:pStyle w:val="Default"/>
        <w:numPr>
          <w:ilvl w:val="0"/>
          <w:numId w:val="12"/>
        </w:numPr>
        <w:jc w:val="both"/>
        <w:rPr>
          <w:rFonts w:ascii="Century Gothic" w:hAnsi="Century Gothic"/>
          <w:color w:val="auto"/>
          <w:sz w:val="20"/>
          <w:szCs w:val="20"/>
        </w:rPr>
      </w:pPr>
      <w:r w:rsidRPr="001C1B84">
        <w:rPr>
          <w:rFonts w:ascii="Century Gothic" w:hAnsi="Century Gothic"/>
          <w:color w:val="auto"/>
          <w:sz w:val="20"/>
          <w:szCs w:val="20"/>
        </w:rPr>
        <w:t>Depreciación</w:t>
      </w:r>
    </w:p>
    <w:p w14:paraId="0E69ADE4" w14:textId="77777777" w:rsidR="009D3D7A" w:rsidRPr="001C1B84" w:rsidRDefault="009D3D7A" w:rsidP="009D3D7A">
      <w:pPr>
        <w:pStyle w:val="Default"/>
        <w:numPr>
          <w:ilvl w:val="0"/>
          <w:numId w:val="12"/>
        </w:numPr>
        <w:jc w:val="both"/>
        <w:rPr>
          <w:rFonts w:ascii="Century Gothic" w:hAnsi="Century Gothic"/>
          <w:color w:val="auto"/>
          <w:sz w:val="20"/>
          <w:szCs w:val="20"/>
        </w:rPr>
      </w:pPr>
      <w:r w:rsidRPr="001C1B84">
        <w:rPr>
          <w:rFonts w:ascii="Century Gothic" w:hAnsi="Century Gothic"/>
          <w:color w:val="auto"/>
          <w:sz w:val="20"/>
          <w:szCs w:val="20"/>
        </w:rPr>
        <w:t>Valor bien</w:t>
      </w:r>
    </w:p>
    <w:p w14:paraId="0740C877" w14:textId="77777777" w:rsidR="009D3D7A" w:rsidRPr="001C1B84" w:rsidRDefault="009D3D7A" w:rsidP="009D3D7A">
      <w:pPr>
        <w:pStyle w:val="Default"/>
        <w:numPr>
          <w:ilvl w:val="0"/>
          <w:numId w:val="12"/>
        </w:numPr>
        <w:jc w:val="both"/>
        <w:rPr>
          <w:rFonts w:ascii="Century Gothic" w:hAnsi="Century Gothic"/>
          <w:color w:val="auto"/>
          <w:sz w:val="20"/>
          <w:szCs w:val="20"/>
        </w:rPr>
      </w:pPr>
      <w:r w:rsidRPr="001C1B84">
        <w:rPr>
          <w:rFonts w:ascii="Century Gothic" w:hAnsi="Century Gothic"/>
          <w:color w:val="auto"/>
          <w:sz w:val="20"/>
          <w:szCs w:val="20"/>
        </w:rPr>
        <w:t xml:space="preserve">Valor de salvamento </w:t>
      </w:r>
    </w:p>
    <w:p w14:paraId="5B573F64" w14:textId="77777777" w:rsidR="009D3D7A" w:rsidRPr="001C1B84" w:rsidRDefault="009D3D7A" w:rsidP="009D3D7A">
      <w:pPr>
        <w:pStyle w:val="Default"/>
        <w:numPr>
          <w:ilvl w:val="0"/>
          <w:numId w:val="12"/>
        </w:numPr>
        <w:jc w:val="both"/>
        <w:rPr>
          <w:rFonts w:ascii="Century Gothic" w:hAnsi="Century Gothic"/>
          <w:color w:val="auto"/>
          <w:sz w:val="20"/>
          <w:szCs w:val="20"/>
        </w:rPr>
      </w:pPr>
      <w:r w:rsidRPr="001C1B84">
        <w:rPr>
          <w:rFonts w:ascii="Century Gothic" w:hAnsi="Century Gothic"/>
          <w:color w:val="auto"/>
          <w:sz w:val="20"/>
          <w:szCs w:val="20"/>
        </w:rPr>
        <w:t>Nueva vida útil.</w:t>
      </w:r>
    </w:p>
    <w:p w14:paraId="3D27C814" w14:textId="77777777" w:rsidR="009D3D7A" w:rsidRPr="001C1B84" w:rsidRDefault="009D3D7A" w:rsidP="009D3D7A">
      <w:pPr>
        <w:jc w:val="both"/>
        <w:rPr>
          <w:rFonts w:ascii="Century Gothic" w:hAnsi="Century Gothic"/>
          <w:sz w:val="20"/>
          <w:szCs w:val="20"/>
        </w:rPr>
      </w:pPr>
    </w:p>
    <w:p w14:paraId="3A337E8F" w14:textId="77777777" w:rsidR="009D3D7A" w:rsidRPr="001C1B84" w:rsidRDefault="009D3D7A" w:rsidP="009D3D7A">
      <w:pPr>
        <w:pStyle w:val="Prrafodelista"/>
        <w:numPr>
          <w:ilvl w:val="1"/>
          <w:numId w:val="14"/>
        </w:numPr>
        <w:jc w:val="both"/>
        <w:rPr>
          <w:rFonts w:ascii="Century Gothic" w:eastAsia="Times New Roman" w:hAnsi="Century Gothic"/>
          <w:b/>
          <w:bCs/>
          <w:sz w:val="20"/>
          <w:szCs w:val="20"/>
        </w:rPr>
      </w:pPr>
      <w:r w:rsidRPr="001C1B84">
        <w:rPr>
          <w:rFonts w:ascii="Century Gothic" w:eastAsia="Times New Roman" w:hAnsi="Century Gothic"/>
          <w:b/>
          <w:bCs/>
          <w:sz w:val="20"/>
          <w:szCs w:val="20"/>
        </w:rPr>
        <w:t>Clasificador de bienes y servicios de Naciones Unidas (UNSPSC)</w:t>
      </w:r>
    </w:p>
    <w:p w14:paraId="648AFEE0" w14:textId="77777777" w:rsidR="009D3D7A" w:rsidRPr="001C1B84" w:rsidRDefault="009D3D7A" w:rsidP="009D3D7A">
      <w:pPr>
        <w:jc w:val="both"/>
        <w:rPr>
          <w:rFonts w:ascii="Century Gothic" w:hAnsi="Century Gothic"/>
          <w:sz w:val="20"/>
          <w:szCs w:val="20"/>
        </w:rPr>
      </w:pPr>
    </w:p>
    <w:p w14:paraId="4360C9CA" w14:textId="77777777" w:rsidR="009D3D7A" w:rsidRPr="001C1B84" w:rsidRDefault="009D3D7A" w:rsidP="009D3D7A">
      <w:pPr>
        <w:jc w:val="both"/>
        <w:rPr>
          <w:rFonts w:ascii="Century Gothic" w:hAnsi="Century Gothic"/>
          <w:sz w:val="20"/>
          <w:szCs w:val="20"/>
        </w:rPr>
      </w:pPr>
      <w:r w:rsidRPr="001C1B84">
        <w:rPr>
          <w:rFonts w:ascii="Century Gothic" w:hAnsi="Century Gothic"/>
          <w:sz w:val="20"/>
          <w:szCs w:val="20"/>
        </w:rPr>
        <w:t>El objeto del presente Proceso de Contratación está codificado en el Clasificador de Bienes y Servicios de Naciones Unidas (UNSPSC):</w:t>
      </w:r>
    </w:p>
    <w:p w14:paraId="732A323B" w14:textId="77777777" w:rsidR="009D3D7A" w:rsidRPr="001C1B84" w:rsidRDefault="009D3D7A" w:rsidP="009D3D7A">
      <w:pPr>
        <w:jc w:val="both"/>
        <w:rPr>
          <w:rFonts w:ascii="Century Gothic" w:hAnsi="Century Gothic"/>
          <w:sz w:val="20"/>
          <w:szCs w:val="20"/>
        </w:rPr>
      </w:pPr>
    </w:p>
    <w:tbl>
      <w:tblPr>
        <w:tblW w:w="5000" w:type="pct"/>
        <w:tblCellMar>
          <w:left w:w="70" w:type="dxa"/>
          <w:right w:w="70" w:type="dxa"/>
        </w:tblCellMar>
        <w:tblLook w:val="04A0" w:firstRow="1" w:lastRow="0" w:firstColumn="1" w:lastColumn="0" w:noHBand="0" w:noVBand="1"/>
      </w:tblPr>
      <w:tblGrid>
        <w:gridCol w:w="2689"/>
        <w:gridCol w:w="6139"/>
      </w:tblGrid>
      <w:tr w:rsidR="009D3D7A" w:rsidRPr="001C1B84" w14:paraId="7208EE80" w14:textId="77777777" w:rsidTr="00AB109D">
        <w:trPr>
          <w:trHeight w:val="240"/>
        </w:trPr>
        <w:tc>
          <w:tcPr>
            <w:tcW w:w="1523"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34D5F832" w14:textId="77777777" w:rsidR="009D3D7A" w:rsidRPr="001C1B84" w:rsidRDefault="009D3D7A" w:rsidP="00AB109D">
            <w:pPr>
              <w:jc w:val="both"/>
              <w:rPr>
                <w:rFonts w:ascii="Century Gothic" w:hAnsi="Century Gothic"/>
                <w:b/>
                <w:bCs/>
                <w:sz w:val="20"/>
                <w:szCs w:val="20"/>
              </w:rPr>
            </w:pPr>
            <w:bookmarkStart w:id="15" w:name="_Hlk142986143"/>
            <w:r w:rsidRPr="001C1B84">
              <w:rPr>
                <w:rFonts w:ascii="Century Gothic" w:hAnsi="Century Gothic"/>
                <w:b/>
                <w:bCs/>
                <w:sz w:val="20"/>
                <w:szCs w:val="20"/>
              </w:rPr>
              <w:t>CODIGO PRODUCTO</w:t>
            </w:r>
          </w:p>
        </w:tc>
        <w:tc>
          <w:tcPr>
            <w:tcW w:w="3477" w:type="pct"/>
            <w:tcBorders>
              <w:top w:val="single" w:sz="4" w:space="0" w:color="auto"/>
              <w:left w:val="nil"/>
              <w:bottom w:val="single" w:sz="4" w:space="0" w:color="auto"/>
              <w:right w:val="single" w:sz="4" w:space="0" w:color="auto"/>
            </w:tcBorders>
            <w:shd w:val="clear" w:color="000000" w:fill="C5D9F1"/>
            <w:vAlign w:val="center"/>
            <w:hideMark/>
          </w:tcPr>
          <w:p w14:paraId="0F9F6C43" w14:textId="77777777" w:rsidR="009D3D7A" w:rsidRPr="001C1B84" w:rsidRDefault="009D3D7A" w:rsidP="00AB109D">
            <w:pPr>
              <w:jc w:val="both"/>
              <w:rPr>
                <w:rFonts w:ascii="Century Gothic" w:hAnsi="Century Gothic"/>
                <w:b/>
                <w:bCs/>
                <w:sz w:val="20"/>
                <w:szCs w:val="20"/>
              </w:rPr>
            </w:pPr>
            <w:r w:rsidRPr="001C1B84">
              <w:rPr>
                <w:rFonts w:ascii="Century Gothic" w:hAnsi="Century Gothic"/>
                <w:b/>
                <w:bCs/>
                <w:sz w:val="20"/>
                <w:szCs w:val="20"/>
              </w:rPr>
              <w:t>NOMBRE PRODUCTO</w:t>
            </w:r>
          </w:p>
        </w:tc>
      </w:tr>
      <w:tr w:rsidR="009D3D7A" w:rsidRPr="001C1B84" w14:paraId="54C7F5EF" w14:textId="77777777" w:rsidTr="00AB109D">
        <w:trPr>
          <w:trHeight w:val="240"/>
        </w:trPr>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5BB28C20"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84111500</w:t>
            </w:r>
          </w:p>
        </w:tc>
        <w:tc>
          <w:tcPr>
            <w:tcW w:w="3477" w:type="pct"/>
            <w:tcBorders>
              <w:top w:val="single" w:sz="4" w:space="0" w:color="auto"/>
              <w:left w:val="nil"/>
              <w:bottom w:val="single" w:sz="4" w:space="0" w:color="auto"/>
              <w:right w:val="single" w:sz="4" w:space="0" w:color="auto"/>
            </w:tcBorders>
            <w:shd w:val="clear" w:color="auto" w:fill="auto"/>
            <w:vAlign w:val="center"/>
          </w:tcPr>
          <w:p w14:paraId="6BB6898E" w14:textId="77777777" w:rsidR="009D3D7A" w:rsidRPr="001C1B84" w:rsidRDefault="009D3D7A" w:rsidP="00AB109D">
            <w:pPr>
              <w:jc w:val="both"/>
              <w:rPr>
                <w:rFonts w:ascii="Century Gothic" w:hAnsi="Century Gothic"/>
                <w:b/>
                <w:bCs/>
                <w:sz w:val="20"/>
                <w:szCs w:val="20"/>
              </w:rPr>
            </w:pPr>
            <w:r w:rsidRPr="001C1B84">
              <w:rPr>
                <w:rFonts w:ascii="Century Gothic" w:hAnsi="Century Gothic"/>
                <w:sz w:val="20"/>
                <w:szCs w:val="20"/>
              </w:rPr>
              <w:t>Servicios contables</w:t>
            </w:r>
          </w:p>
        </w:tc>
      </w:tr>
      <w:tr w:rsidR="009D3D7A" w:rsidRPr="001C1B84" w14:paraId="5CA5BDB3" w14:textId="77777777" w:rsidTr="00AB109D">
        <w:trPr>
          <w:trHeight w:val="240"/>
        </w:trPr>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1632BA80"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80131800</w:t>
            </w:r>
          </w:p>
        </w:tc>
        <w:tc>
          <w:tcPr>
            <w:tcW w:w="3477" w:type="pct"/>
            <w:tcBorders>
              <w:top w:val="single" w:sz="4" w:space="0" w:color="auto"/>
              <w:left w:val="nil"/>
              <w:bottom w:val="single" w:sz="4" w:space="0" w:color="auto"/>
              <w:right w:val="single" w:sz="4" w:space="0" w:color="auto"/>
            </w:tcBorders>
            <w:shd w:val="clear" w:color="auto" w:fill="auto"/>
            <w:vAlign w:val="center"/>
          </w:tcPr>
          <w:p w14:paraId="332990D3"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Servicios de administración inmobiliaria</w:t>
            </w:r>
          </w:p>
        </w:tc>
      </w:tr>
      <w:tr w:rsidR="009D3D7A" w:rsidRPr="001C1B84" w14:paraId="76F978DC" w14:textId="77777777" w:rsidTr="00AB109D">
        <w:trPr>
          <w:trHeight w:val="240"/>
        </w:trPr>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5D6B6E11"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80101600</w:t>
            </w:r>
          </w:p>
        </w:tc>
        <w:tc>
          <w:tcPr>
            <w:tcW w:w="3477" w:type="pct"/>
            <w:tcBorders>
              <w:top w:val="single" w:sz="4" w:space="0" w:color="auto"/>
              <w:left w:val="nil"/>
              <w:bottom w:val="single" w:sz="4" w:space="0" w:color="auto"/>
              <w:right w:val="single" w:sz="4" w:space="0" w:color="auto"/>
            </w:tcBorders>
            <w:shd w:val="clear" w:color="auto" w:fill="auto"/>
            <w:vAlign w:val="center"/>
          </w:tcPr>
          <w:p w14:paraId="7D6A6D8B"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Gerencia de proyectos</w:t>
            </w:r>
          </w:p>
        </w:tc>
      </w:tr>
      <w:tr w:rsidR="009D3D7A" w:rsidRPr="001C1B84" w14:paraId="40B6C62E" w14:textId="77777777" w:rsidTr="00AB109D">
        <w:trPr>
          <w:trHeight w:val="240"/>
        </w:trPr>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5B9E8A6E"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93171800</w:t>
            </w:r>
          </w:p>
        </w:tc>
        <w:tc>
          <w:tcPr>
            <w:tcW w:w="3477" w:type="pct"/>
            <w:tcBorders>
              <w:top w:val="single" w:sz="4" w:space="0" w:color="auto"/>
              <w:left w:val="nil"/>
              <w:bottom w:val="single" w:sz="4" w:space="0" w:color="auto"/>
              <w:right w:val="single" w:sz="4" w:space="0" w:color="auto"/>
            </w:tcBorders>
            <w:shd w:val="clear" w:color="auto" w:fill="auto"/>
            <w:vAlign w:val="center"/>
          </w:tcPr>
          <w:p w14:paraId="6C317733" w14:textId="77777777" w:rsidR="009D3D7A" w:rsidRPr="001C1B84" w:rsidRDefault="009D3D7A" w:rsidP="00AB109D">
            <w:pPr>
              <w:jc w:val="both"/>
              <w:rPr>
                <w:rFonts w:ascii="Century Gothic" w:hAnsi="Century Gothic"/>
                <w:sz w:val="20"/>
                <w:szCs w:val="20"/>
              </w:rPr>
            </w:pPr>
            <w:r w:rsidRPr="001C1B84">
              <w:rPr>
                <w:rFonts w:ascii="Century Gothic" w:hAnsi="Century Gothic"/>
                <w:sz w:val="20"/>
                <w:szCs w:val="20"/>
              </w:rPr>
              <w:t>Análisis de comercio</w:t>
            </w:r>
          </w:p>
        </w:tc>
      </w:tr>
      <w:bookmarkEnd w:id="15"/>
    </w:tbl>
    <w:p w14:paraId="5AD26E33" w14:textId="77777777" w:rsidR="009D3D7A" w:rsidRPr="009D3D7A" w:rsidRDefault="009D3D7A" w:rsidP="009D3D7A"/>
    <w:sectPr w:rsidR="009D3D7A" w:rsidRPr="009D3D7A" w:rsidSect="009D3D7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B0E0" w14:textId="77777777" w:rsidR="00DC52A0" w:rsidRDefault="00DC52A0" w:rsidP="001804DD">
      <w:pPr>
        <w:spacing w:after="0" w:line="240" w:lineRule="auto"/>
      </w:pPr>
      <w:r>
        <w:separator/>
      </w:r>
    </w:p>
  </w:endnote>
  <w:endnote w:type="continuationSeparator" w:id="0">
    <w:p w14:paraId="5277FE94" w14:textId="77777777" w:rsidR="00DC52A0" w:rsidRDefault="00DC52A0" w:rsidP="0018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55C7" w14:textId="77777777" w:rsidR="00DC52A0" w:rsidRDefault="00DC52A0" w:rsidP="001804DD">
      <w:pPr>
        <w:spacing w:after="0" w:line="240" w:lineRule="auto"/>
      </w:pPr>
      <w:r>
        <w:separator/>
      </w:r>
    </w:p>
  </w:footnote>
  <w:footnote w:type="continuationSeparator" w:id="0">
    <w:p w14:paraId="2E55B521" w14:textId="77777777" w:rsidR="00DC52A0" w:rsidRDefault="00DC52A0" w:rsidP="0018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17EC" w14:textId="77777777" w:rsidR="009E686B" w:rsidRDefault="009E686B">
    <w:pPr>
      <w:pStyle w:val="Encabezado"/>
    </w:pPr>
    <w:r>
      <w:rPr>
        <w:noProof/>
        <w:lang w:eastAsia="es-CO"/>
      </w:rPr>
      <mc:AlternateContent>
        <mc:Choice Requires="wps">
          <w:drawing>
            <wp:anchor distT="0" distB="0" distL="114300" distR="114300" simplePos="0" relativeHeight="251659264" behindDoc="0" locked="0" layoutInCell="1" allowOverlap="1" wp14:anchorId="64205464" wp14:editId="61531042">
              <wp:simplePos x="0" y="0"/>
              <wp:positionH relativeFrom="column">
                <wp:posOffset>1390015</wp:posOffset>
              </wp:positionH>
              <wp:positionV relativeFrom="paragraph">
                <wp:posOffset>155534</wp:posOffset>
              </wp:positionV>
              <wp:extent cx="2695433" cy="516193"/>
              <wp:effectExtent l="0" t="0" r="0" b="5080"/>
              <wp:wrapNone/>
              <wp:docPr id="1" name="Cuadro de texto 1"/>
              <wp:cNvGraphicFramePr/>
              <a:graphic xmlns:a="http://schemas.openxmlformats.org/drawingml/2006/main">
                <a:graphicData uri="http://schemas.microsoft.com/office/word/2010/wordprocessingShape">
                  <wps:wsp>
                    <wps:cNvSpPr txBox="1"/>
                    <wps:spPr>
                      <a:xfrm>
                        <a:off x="0" y="0"/>
                        <a:ext cx="2695433" cy="516193"/>
                      </a:xfrm>
                      <a:prstGeom prst="rect">
                        <a:avLst/>
                      </a:prstGeom>
                      <a:solidFill>
                        <a:schemeClr val="lt1"/>
                      </a:solidFill>
                      <a:ln w="6350">
                        <a:noFill/>
                      </a:ln>
                    </wps:spPr>
                    <wps:txbx>
                      <w:txbxContent>
                        <w:p w14:paraId="42ADEACA" w14:textId="1CAD8259" w:rsidR="009E686B" w:rsidRPr="001A2B2E" w:rsidRDefault="009D3D7A" w:rsidP="001804DD">
                          <w:pPr>
                            <w:jc w:val="center"/>
                            <w:rPr>
                              <w:b/>
                              <w:lang w:val="es-MX"/>
                            </w:rPr>
                          </w:pPr>
                          <w:r>
                            <w:rPr>
                              <w:b/>
                              <w:lang w:val="es-MX"/>
                            </w:rPr>
                            <w:t>PROCESO 50 DE 2023 – ESPECIFICACIONES TÉCNICAS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05464" id="_x0000_t202" coordsize="21600,21600" o:spt="202" path="m,l,21600r21600,l21600,xe">
              <v:stroke joinstyle="miter"/>
              <v:path gradientshapeok="t" o:connecttype="rect"/>
            </v:shapetype>
            <v:shape id="Cuadro de texto 1" o:spid="_x0000_s1026" type="#_x0000_t202" style="position:absolute;margin-left:109.45pt;margin-top:12.25pt;width:212.25pt;height:4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" fillcolor="white [3201]" stroked="f" strokeweight=".5pt">
              <v:textbox>
                <w:txbxContent>
                  <w:p w14:paraId="42ADEACA" w14:textId="1CAD8259" w:rsidR="009E686B" w:rsidRPr="001A2B2E" w:rsidRDefault="009D3D7A" w:rsidP="001804DD">
                    <w:pPr>
                      <w:jc w:val="center"/>
                      <w:rPr>
                        <w:b/>
                        <w:lang w:val="es-MX"/>
                      </w:rPr>
                    </w:pPr>
                    <w:r>
                      <w:rPr>
                        <w:b/>
                        <w:lang w:val="es-MX"/>
                      </w:rPr>
                      <w:t>PROCESO 50 DE 2023 – ESPECIFICACIONES TÉCNICAS</w:t>
                    </w:r>
                  </w:p>
                </w:txbxContent>
              </v:textbox>
            </v:shape>
          </w:pict>
        </mc:Fallback>
      </mc:AlternateContent>
    </w:r>
    <w:r>
      <w:rPr>
        <w:noProof/>
        <w:lang w:eastAsia="es-CO"/>
      </w:rPr>
      <w:drawing>
        <wp:inline distT="0" distB="0" distL="0" distR="0" wp14:anchorId="4205BF7E" wp14:editId="71902A26">
          <wp:extent cx="5612130" cy="71818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18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11F"/>
    <w:multiLevelType w:val="multilevel"/>
    <w:tmpl w:val="F6E8CD2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8D5810"/>
    <w:multiLevelType w:val="multilevel"/>
    <w:tmpl w:val="587AA312"/>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5651E9"/>
    <w:multiLevelType w:val="multilevel"/>
    <w:tmpl w:val="F6E8CD2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221E66"/>
    <w:multiLevelType w:val="hybridMultilevel"/>
    <w:tmpl w:val="9BD49DFE"/>
    <w:lvl w:ilvl="0" w:tplc="240A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3226678"/>
    <w:multiLevelType w:val="hybridMultilevel"/>
    <w:tmpl w:val="CBA616C8"/>
    <w:lvl w:ilvl="0" w:tplc="24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FC64DAF"/>
    <w:multiLevelType w:val="multilevel"/>
    <w:tmpl w:val="F6E8CD2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16540C"/>
    <w:multiLevelType w:val="multilevel"/>
    <w:tmpl w:val="F6E8CD2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8C7173"/>
    <w:multiLevelType w:val="multilevel"/>
    <w:tmpl w:val="A364BA50"/>
    <w:lvl w:ilvl="0">
      <w:start w:val="1"/>
      <w:numFmt w:val="bullet"/>
      <w:lvlText w:val=""/>
      <w:lvlJc w:val="left"/>
      <w:pPr>
        <w:ind w:left="720" w:hanging="360"/>
      </w:pPr>
      <w:rPr>
        <w:rFonts w:ascii="Wingdings" w:hAnsi="Wingdings" w:hint="default"/>
      </w:rPr>
    </w:lvl>
    <w:lvl w:ilvl="1">
      <w:start w:val="1"/>
      <w:numFmt w:val="bullet"/>
      <w:lvlText w:val=""/>
      <w:lvlJc w:val="left"/>
      <w:pPr>
        <w:ind w:left="1079"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CC0FB4"/>
    <w:multiLevelType w:val="multilevel"/>
    <w:tmpl w:val="5602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53C83"/>
    <w:multiLevelType w:val="hybridMultilevel"/>
    <w:tmpl w:val="7944C3C0"/>
    <w:lvl w:ilvl="0" w:tplc="2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456C6B"/>
    <w:multiLevelType w:val="multilevel"/>
    <w:tmpl w:val="62C8F086"/>
    <w:lvl w:ilvl="0">
      <w:start w:val="1"/>
      <w:numFmt w:val="decimal"/>
      <w:lvlText w:val="%1."/>
      <w:lvlJc w:val="left"/>
      <w:pPr>
        <w:ind w:left="720" w:hanging="360"/>
      </w:pPr>
    </w:lvl>
    <w:lvl w:ilvl="1">
      <w:start w:val="1"/>
      <w:numFmt w:val="bullet"/>
      <w:lvlText w:val=""/>
      <w:lvlJc w:val="left"/>
      <w:pPr>
        <w:ind w:left="1079"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CF404B"/>
    <w:multiLevelType w:val="multilevel"/>
    <w:tmpl w:val="9CDAF04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6F1E34"/>
    <w:multiLevelType w:val="multilevel"/>
    <w:tmpl w:val="587AA312"/>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2C1111"/>
    <w:multiLevelType w:val="multilevel"/>
    <w:tmpl w:val="F6E8CD2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54693456">
    <w:abstractNumId w:val="4"/>
  </w:num>
  <w:num w:numId="2" w16cid:durableId="1057165894">
    <w:abstractNumId w:val="5"/>
  </w:num>
  <w:num w:numId="3" w16cid:durableId="785932537">
    <w:abstractNumId w:val="0"/>
  </w:num>
  <w:num w:numId="4" w16cid:durableId="1821992727">
    <w:abstractNumId w:val="2"/>
  </w:num>
  <w:num w:numId="5" w16cid:durableId="616647333">
    <w:abstractNumId w:val="6"/>
  </w:num>
  <w:num w:numId="6" w16cid:durableId="1567296274">
    <w:abstractNumId w:val="8"/>
  </w:num>
  <w:num w:numId="7" w16cid:durableId="1375350615">
    <w:abstractNumId w:val="13"/>
  </w:num>
  <w:num w:numId="8" w16cid:durableId="1277760061">
    <w:abstractNumId w:val="1"/>
  </w:num>
  <w:num w:numId="9" w16cid:durableId="1499031811">
    <w:abstractNumId w:val="12"/>
  </w:num>
  <w:num w:numId="10" w16cid:durableId="1963682625">
    <w:abstractNumId w:val="10"/>
  </w:num>
  <w:num w:numId="11" w16cid:durableId="1572158823">
    <w:abstractNumId w:val="7"/>
  </w:num>
  <w:num w:numId="12" w16cid:durableId="1380473932">
    <w:abstractNumId w:val="9"/>
  </w:num>
  <w:num w:numId="13" w16cid:durableId="483816272">
    <w:abstractNumId w:val="3"/>
  </w:num>
  <w:num w:numId="14" w16cid:durableId="178617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DD"/>
    <w:rsid w:val="000262D4"/>
    <w:rsid w:val="0010173F"/>
    <w:rsid w:val="00176672"/>
    <w:rsid w:val="001804DD"/>
    <w:rsid w:val="001D521F"/>
    <w:rsid w:val="002306A0"/>
    <w:rsid w:val="002A6BBC"/>
    <w:rsid w:val="002B41B5"/>
    <w:rsid w:val="004140EC"/>
    <w:rsid w:val="004D7741"/>
    <w:rsid w:val="004E6092"/>
    <w:rsid w:val="005005E3"/>
    <w:rsid w:val="005C2106"/>
    <w:rsid w:val="006C226C"/>
    <w:rsid w:val="00712913"/>
    <w:rsid w:val="00762266"/>
    <w:rsid w:val="0077080F"/>
    <w:rsid w:val="008A3D61"/>
    <w:rsid w:val="009D3D7A"/>
    <w:rsid w:val="009E686B"/>
    <w:rsid w:val="00C5387E"/>
    <w:rsid w:val="00CD4892"/>
    <w:rsid w:val="00DC52A0"/>
    <w:rsid w:val="00DD0393"/>
    <w:rsid w:val="00E42841"/>
    <w:rsid w:val="00F27531"/>
    <w:rsid w:val="00F279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D7F3"/>
  <w15:chartTrackingRefBased/>
  <w15:docId w15:val="{5435FF6E-E7EF-4B27-B861-1568E3AD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DD"/>
  </w:style>
  <w:style w:type="paragraph" w:styleId="Ttulo1">
    <w:name w:val="heading 1"/>
    <w:basedOn w:val="Normal"/>
    <w:next w:val="Normal"/>
    <w:link w:val="Ttulo1Car"/>
    <w:qFormat/>
    <w:rsid w:val="009D3D7A"/>
    <w:pPr>
      <w:keepNext/>
      <w:spacing w:after="0" w:line="240" w:lineRule="auto"/>
      <w:jc w:val="both"/>
      <w:outlineLvl w:val="0"/>
    </w:pPr>
    <w:rPr>
      <w:rFonts w:ascii="Arial Narrow" w:eastAsia="Times New Roman" w:hAnsi="Arial Narrow" w:cs="Times New Roman"/>
      <w:sz w:val="24"/>
      <w:szCs w:val="20"/>
      <w:lang w:val="es-ES" w:eastAsia="es-ES"/>
    </w:rPr>
  </w:style>
  <w:style w:type="paragraph" w:styleId="Ttulo2">
    <w:name w:val="heading 2"/>
    <w:basedOn w:val="Normal"/>
    <w:next w:val="Normal"/>
    <w:link w:val="Ttulo2Car"/>
    <w:qFormat/>
    <w:rsid w:val="009D3D7A"/>
    <w:pPr>
      <w:keepNext/>
      <w:spacing w:after="0" w:line="240" w:lineRule="auto"/>
      <w:jc w:val="center"/>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qFormat/>
    <w:rsid w:val="009D3D7A"/>
    <w:pPr>
      <w:keepNext/>
      <w:spacing w:after="0" w:line="240" w:lineRule="auto"/>
      <w:jc w:val="center"/>
      <w:outlineLvl w:val="2"/>
    </w:pPr>
    <w:rPr>
      <w:rFonts w:ascii="Univers" w:eastAsia="Times New Roman" w:hAnsi="Univers"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4DD"/>
  </w:style>
  <w:style w:type="paragraph" w:styleId="Piedepgina">
    <w:name w:val="footer"/>
    <w:basedOn w:val="Normal"/>
    <w:link w:val="PiedepginaCar"/>
    <w:uiPriority w:val="99"/>
    <w:unhideWhenUsed/>
    <w:rsid w:val="00180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4DD"/>
  </w:style>
  <w:style w:type="character" w:customStyle="1" w:styleId="Ttulo1Car">
    <w:name w:val="Título 1 Car"/>
    <w:basedOn w:val="Fuentedeprrafopredeter"/>
    <w:link w:val="Ttulo1"/>
    <w:rsid w:val="009D3D7A"/>
    <w:rPr>
      <w:rFonts w:ascii="Arial Narrow" w:eastAsia="Times New Roman" w:hAnsi="Arial Narrow" w:cs="Times New Roman"/>
      <w:sz w:val="24"/>
      <w:szCs w:val="20"/>
      <w:lang w:val="es-ES" w:eastAsia="es-ES"/>
    </w:rPr>
  </w:style>
  <w:style w:type="character" w:customStyle="1" w:styleId="Ttulo2Car">
    <w:name w:val="Título 2 Car"/>
    <w:basedOn w:val="Fuentedeprrafopredeter"/>
    <w:link w:val="Ttulo2"/>
    <w:rsid w:val="009D3D7A"/>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9D3D7A"/>
    <w:rPr>
      <w:rFonts w:ascii="Univers" w:eastAsia="Times New Roman" w:hAnsi="Univers" w:cs="Times New Roman"/>
      <w:b/>
      <w:sz w:val="20"/>
      <w:szCs w:val="20"/>
      <w:lang w:val="es-ES_tradnl" w:eastAsia="es-ES"/>
    </w:rPr>
  </w:style>
  <w:style w:type="paragraph" w:styleId="Textoindependiente">
    <w:name w:val="Body Text"/>
    <w:aliases w:val="bt,body text,body tesx,contents"/>
    <w:basedOn w:val="Normal"/>
    <w:link w:val="TextoindependienteCar"/>
    <w:rsid w:val="009D3D7A"/>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bt Car,body text Car,body tesx Car,contents Car"/>
    <w:basedOn w:val="Fuentedeprrafopredeter"/>
    <w:link w:val="Textoindependiente"/>
    <w:rsid w:val="009D3D7A"/>
    <w:rPr>
      <w:rFonts w:ascii="Times New Roman" w:eastAsia="Times New Roman" w:hAnsi="Times New Roman" w:cs="Times New Roman"/>
      <w:sz w:val="20"/>
      <w:szCs w:val="20"/>
      <w:lang w:val="es-ES" w:eastAsia="es-ES"/>
    </w:rPr>
  </w:style>
  <w:style w:type="paragraph" w:styleId="Prrafodelista">
    <w:name w:val="List Paragraph"/>
    <w:aliases w:val="Cita textual,Párrafo de tabla,Texto Tabla,Proyecto,Párrafo de lista1,Figuras,List Paragraph,Segundo nivel de viñetas,List Paragraph1,titulo 3,Lista vistosa - Énfasis 11,Segundo nivel de vi–etas,parrafo,Bullet List,FooterText,numbered,Ha"/>
    <w:basedOn w:val="Normal"/>
    <w:link w:val="PrrafodelistaCar"/>
    <w:uiPriority w:val="34"/>
    <w:qFormat/>
    <w:rsid w:val="009D3D7A"/>
    <w:pPr>
      <w:spacing w:after="0" w:line="240" w:lineRule="auto"/>
      <w:ind w:left="708"/>
    </w:pPr>
    <w:rPr>
      <w:rFonts w:ascii="Calibri" w:eastAsia="Calibri" w:hAnsi="Calibri" w:cs="Times New Roman"/>
      <w:lang w:val="es-ES" w:eastAsia="es-ES"/>
    </w:rPr>
  </w:style>
  <w:style w:type="paragraph" w:customStyle="1" w:styleId="Default">
    <w:name w:val="Default"/>
    <w:link w:val="DefaultCar"/>
    <w:qFormat/>
    <w:rsid w:val="009D3D7A"/>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aliases w:val="Cita textual Car,Párrafo de tabla Car,Texto Tabla Car,Proyecto Car,Párrafo de lista1 Car,Figuras Car,List Paragraph Car,Segundo nivel de viñetas Car,List Paragraph1 Car,titulo 3 Car,Lista vistosa - Énfasis 11 Car,parrafo Car,Ha Car"/>
    <w:link w:val="Prrafodelista"/>
    <w:uiPriority w:val="34"/>
    <w:qFormat/>
    <w:locked/>
    <w:rsid w:val="009D3D7A"/>
    <w:rPr>
      <w:rFonts w:ascii="Calibri" w:eastAsia="Calibri" w:hAnsi="Calibri" w:cs="Times New Roman"/>
      <w:lang w:val="es-ES" w:eastAsia="es-ES"/>
    </w:rPr>
  </w:style>
  <w:style w:type="character" w:customStyle="1" w:styleId="DefaultCar">
    <w:name w:val="Default Car"/>
    <w:link w:val="Default"/>
    <w:locked/>
    <w:rsid w:val="009D3D7A"/>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6880">
      <w:bodyDiv w:val="1"/>
      <w:marLeft w:val="0"/>
      <w:marRight w:val="0"/>
      <w:marTop w:val="0"/>
      <w:marBottom w:val="0"/>
      <w:divBdr>
        <w:top w:val="none" w:sz="0" w:space="0" w:color="auto"/>
        <w:left w:val="none" w:sz="0" w:space="0" w:color="auto"/>
        <w:bottom w:val="none" w:sz="0" w:space="0" w:color="auto"/>
        <w:right w:val="none" w:sz="0" w:space="0" w:color="auto"/>
      </w:divBdr>
    </w:div>
    <w:div w:id="1068916241">
      <w:bodyDiv w:val="1"/>
      <w:marLeft w:val="0"/>
      <w:marRight w:val="0"/>
      <w:marTop w:val="0"/>
      <w:marBottom w:val="0"/>
      <w:divBdr>
        <w:top w:val="none" w:sz="0" w:space="0" w:color="auto"/>
        <w:left w:val="none" w:sz="0" w:space="0" w:color="auto"/>
        <w:bottom w:val="none" w:sz="0" w:space="0" w:color="auto"/>
        <w:right w:val="none" w:sz="0" w:space="0" w:color="auto"/>
      </w:divBdr>
    </w:div>
    <w:div w:id="1164933245">
      <w:bodyDiv w:val="1"/>
      <w:marLeft w:val="0"/>
      <w:marRight w:val="0"/>
      <w:marTop w:val="0"/>
      <w:marBottom w:val="0"/>
      <w:divBdr>
        <w:top w:val="none" w:sz="0" w:space="0" w:color="auto"/>
        <w:left w:val="none" w:sz="0" w:space="0" w:color="auto"/>
        <w:bottom w:val="none" w:sz="0" w:space="0" w:color="auto"/>
        <w:right w:val="none" w:sz="0" w:space="0" w:color="auto"/>
      </w:divBdr>
    </w:div>
    <w:div w:id="1235970165">
      <w:bodyDiv w:val="1"/>
      <w:marLeft w:val="0"/>
      <w:marRight w:val="0"/>
      <w:marTop w:val="0"/>
      <w:marBottom w:val="0"/>
      <w:divBdr>
        <w:top w:val="none" w:sz="0" w:space="0" w:color="auto"/>
        <w:left w:val="none" w:sz="0" w:space="0" w:color="auto"/>
        <w:bottom w:val="none" w:sz="0" w:space="0" w:color="auto"/>
        <w:right w:val="none" w:sz="0" w:space="0" w:color="auto"/>
      </w:divBdr>
    </w:div>
    <w:div w:id="1619218308">
      <w:bodyDiv w:val="1"/>
      <w:marLeft w:val="0"/>
      <w:marRight w:val="0"/>
      <w:marTop w:val="0"/>
      <w:marBottom w:val="0"/>
      <w:divBdr>
        <w:top w:val="none" w:sz="0" w:space="0" w:color="auto"/>
        <w:left w:val="none" w:sz="0" w:space="0" w:color="auto"/>
        <w:bottom w:val="none" w:sz="0" w:space="0" w:color="auto"/>
        <w:right w:val="none" w:sz="0" w:space="0" w:color="auto"/>
      </w:divBdr>
    </w:div>
    <w:div w:id="1721054326">
      <w:bodyDiv w:val="1"/>
      <w:marLeft w:val="0"/>
      <w:marRight w:val="0"/>
      <w:marTop w:val="0"/>
      <w:marBottom w:val="0"/>
      <w:divBdr>
        <w:top w:val="none" w:sz="0" w:space="0" w:color="auto"/>
        <w:left w:val="none" w:sz="0" w:space="0" w:color="auto"/>
        <w:bottom w:val="none" w:sz="0" w:space="0" w:color="auto"/>
        <w:right w:val="none" w:sz="0" w:space="0" w:color="auto"/>
      </w:divBdr>
    </w:div>
    <w:div w:id="1907063174">
      <w:bodyDiv w:val="1"/>
      <w:marLeft w:val="0"/>
      <w:marRight w:val="0"/>
      <w:marTop w:val="0"/>
      <w:marBottom w:val="0"/>
      <w:divBdr>
        <w:top w:val="none" w:sz="0" w:space="0" w:color="auto"/>
        <w:left w:val="none" w:sz="0" w:space="0" w:color="auto"/>
        <w:bottom w:val="none" w:sz="0" w:space="0" w:color="auto"/>
        <w:right w:val="none" w:sz="0" w:space="0" w:color="auto"/>
      </w:divBdr>
    </w:div>
    <w:div w:id="1969894662">
      <w:bodyDiv w:val="1"/>
      <w:marLeft w:val="0"/>
      <w:marRight w:val="0"/>
      <w:marTop w:val="0"/>
      <w:marBottom w:val="0"/>
      <w:divBdr>
        <w:top w:val="none" w:sz="0" w:space="0" w:color="auto"/>
        <w:left w:val="none" w:sz="0" w:space="0" w:color="auto"/>
        <w:bottom w:val="none" w:sz="0" w:space="0" w:color="auto"/>
        <w:right w:val="none" w:sz="0" w:space="0" w:color="auto"/>
      </w:divBdr>
    </w:div>
    <w:div w:id="2054845352">
      <w:bodyDiv w:val="1"/>
      <w:marLeft w:val="0"/>
      <w:marRight w:val="0"/>
      <w:marTop w:val="0"/>
      <w:marBottom w:val="0"/>
      <w:divBdr>
        <w:top w:val="none" w:sz="0" w:space="0" w:color="auto"/>
        <w:left w:val="none" w:sz="0" w:space="0" w:color="auto"/>
        <w:bottom w:val="none" w:sz="0" w:space="0" w:color="auto"/>
        <w:right w:val="none" w:sz="0" w:space="0" w:color="auto"/>
      </w:divBdr>
    </w:div>
    <w:div w:id="211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1750</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MARIA BALLESTEROS LARA</dc:creator>
  <cp:keywords/>
  <dc:description/>
  <cp:lastModifiedBy>4518</cp:lastModifiedBy>
  <cp:revision>9</cp:revision>
  <dcterms:created xsi:type="dcterms:W3CDTF">2023-01-24T19:13:00Z</dcterms:created>
  <dcterms:modified xsi:type="dcterms:W3CDTF">2023-08-25T20:45:00Z</dcterms:modified>
</cp:coreProperties>
</file>